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color w:val="137C8B"/>
          <w:sz w:val="18"/>
        </w:rPr>
        <w:t>NOOR AUBERT  |  THURSDAY IEP MEETING</w:t>
      </w:r>
    </w:p>
    <w:p>
      <w:pPr>
        <w:spacing w:after="20"/>
      </w:pPr>
      <w:r>
        <w:rPr>
          <w:rFonts w:ascii="Arial" w:hAnsi="Arial"/>
          <w:b/>
          <w:color w:val="17324D"/>
          <w:sz w:val="34"/>
        </w:rPr>
        <w:t>A reading plan I can understand, use, and check</w:t>
      </w:r>
    </w:p>
    <w:p>
      <w:pPr>
        <w:spacing w:after="80"/>
      </w:pPr>
      <w:r>
        <w:rPr>
          <w:rFonts w:ascii="Arial" w:hAnsi="Arial"/>
          <w:i/>
          <w:color w:val="4B5D6B"/>
          <w:sz w:val="16"/>
        </w:rPr>
        <w:t>Keep the meeting on current learning. I can ask for clear decisions without assuming the answer.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8F4F5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16" w:color="1C9AAA"/>
              <w:left w:val="single" w:sz="16" w:color="1C9AAA"/>
              <w:bottom w:val="single" w:sz="16" w:color="1C9AAA"/>
              <w:right w:val="single" w:sz="16" w:color="1C9AA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37C8B"/>
                <w:sz w:val="14"/>
              </w:rPr>
              <w:t>OPEN WITH (say this)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324D"/>
                <w:sz w:val="17"/>
              </w:rPr>
              <w:t>“I’m Noor, the child’s grandmother and kinship caregiver. I’m here to understand the reading need and leave with a workable plan for learning and follow-up.”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40"/>
        <w:gridCol w:w="4248"/>
      </w:tblGrid>
      <w:tr>
        <w:tc>
          <w:tcPr>
            <w:tcW w:type="dxa" w:w="5544"/>
            <w:tcMar>
              <w:top w:w="65" w:type="dxa"/>
              <w:start w:w="100" w:type="dxa"/>
              <w:bottom w:w="60" w:type="dxa"/>
              <w:end w:w="100" w:type="dxa"/>
            </w:tcMar>
            <w:vAlign w:val="top"/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— LEAVE WITH A READING PLAN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5"/>
              </w:rPr>
              <w:t>Current need → measurable goal → targeted instruction → how we will check progress.</w:t>
            </w:r>
          </w:p>
        </w:tc>
        <w:tc>
          <w:tcPr>
            <w:tcW w:type="dxa" w:w="5544"/>
            <w:tcMar>
              <w:top w:w="65" w:type="dxa"/>
              <w:start w:w="100" w:type="dxa"/>
              <w:bottom w:w="60" w:type="dxa"/>
              <w:end w:w="100" w:type="dxa"/>
            </w:tcMar>
            <w:vAlign w:val="top"/>
            <w:shd w:fill="F0F5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37C8B"/>
                <w:sz w:val="14"/>
              </w:rPr>
              <w:t>ALSO SECURE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43447"/>
                <w:sz w:val="15"/>
              </w:rPr>
              <w:t>A plain record of decisions, reasons, owners, and timing.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4320"/>
      </w:tblGrid>
      <w:tr>
        <w:tc>
          <w:tcPr>
            <w:tcW w:type="dxa" w:w="5544"/>
            <w:tcMar>
              <w:top w:w="65" w:type="dxa"/>
              <w:start w:w="90" w:type="dxa"/>
              <w:bottom w:w="55" w:type="dxa"/>
              <w:end w:w="90" w:type="dxa"/>
            </w:tcMar>
            <w:vAlign w:val="top"/>
            <w:tcBorders>
              <w:top w:val="single" w:sz="5" w:color="D4DEE5"/>
              <w:left w:val="single" w:sz="5" w:color="D4DEE5"/>
              <w:bottom w:val="single" w:sz="5" w:color="D4DEE5"/>
              <w:right w:val="single" w:sz="5" w:color="D4DEE5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37C8B"/>
                <w:sz w:val="16"/>
              </w:rPr>
              <w:t>1  MAKE THE READING NEED PLAIN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324D"/>
                <w:sz w:val="15"/>
              </w:rPr>
              <w:t>“What can the child do in reading now, and where is it hard?”</w:t>
            </w:r>
          </w:p>
          <w:p>
            <w:pPr>
              <w:pStyle w:val="ListBullet"/>
              <w:spacing w:after="20" w:line="228" w:lineRule="auto"/>
              <w:ind w:left="202" w:hanging="144"/>
            </w:pPr>
            <w:r>
              <w:rPr>
                <w:rFonts w:ascii="Arial" w:hAnsi="Arial"/>
                <w:color w:val="243447"/>
                <w:sz w:val="14"/>
              </w:rPr>
              <w:t>“Which part are we talking about—decoding words, reading smoothly, understanding, or showing an answer in writing?”</w:t>
            </w:r>
          </w:p>
          <w:p>
            <w:pPr>
              <w:pStyle w:val="ListBullet"/>
              <w:spacing w:after="20" w:line="228" w:lineRule="auto"/>
              <w:ind w:left="202" w:hanging="144"/>
            </w:pPr>
            <w:r>
              <w:rPr>
                <w:rFonts w:ascii="Arial" w:hAnsi="Arial"/>
                <w:color w:val="243447"/>
                <w:sz w:val="14"/>
              </w:rPr>
              <w:t>“What assessment, work sample, observation, or progress data supports that description? When was it collected?”</w:t>
            </w:r>
          </w:p>
          <w:p>
            <w:pPr>
              <w:pStyle w:val="ListBullet"/>
              <w:spacing w:after="20" w:line="228" w:lineRule="auto"/>
              <w:ind w:left="202" w:hanging="144"/>
            </w:pPr>
            <w:r>
              <w:rPr>
                <w:rFonts w:ascii="Arial" w:hAnsi="Arial"/>
                <w:color w:val="243447"/>
                <w:sz w:val="14"/>
              </w:rPr>
              <w:t>“How did the team consider interrupted instruction or school changes when reading this information?”</w:t>
            </w:r>
          </w:p>
          <w:p>
            <w:pPr>
              <w:pStyle w:val="ListBullet"/>
              <w:spacing w:after="20" w:line="228" w:lineRule="auto"/>
              <w:ind w:left="202" w:hanging="144"/>
            </w:pPr>
            <w:r>
              <w:rPr>
                <w:rFonts w:ascii="Arial" w:hAnsi="Arial"/>
                <w:color w:val="243447"/>
                <w:sz w:val="14"/>
              </w:rPr>
              <w:t>“What reading instruction or intervention has been provided, and what observable progress followed?”</w:t>
            </w:r>
          </w:p>
          <w:p>
            <w:pPr>
              <w:pStyle w:val="ListBullet"/>
              <w:spacing w:after="20" w:line="228" w:lineRule="auto"/>
              <w:ind w:left="202" w:hanging="144"/>
            </w:pPr>
            <w:r>
              <w:rPr>
                <w:rFonts w:ascii="Arial" w:hAnsi="Arial"/>
                <w:color w:val="243447"/>
                <w:sz w:val="14"/>
              </w:rPr>
              <w:t>“If the information is not enough, what further review or assessment will the team consider?”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37C8B"/>
                <w:sz w:val="14"/>
              </w:rPr>
              <w:t>Context I can add (briefly)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43447"/>
                <w:sz w:val="14"/>
              </w:rPr>
              <w:t>“There were two prior placement moves, and instruction was interrupted around those moves. I’m sharing this only as context for educational access and for interpreting today’s data—not as proof of a diagnosis or cause.”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37C8B"/>
                <w:sz w:val="14"/>
              </w:rPr>
              <w:t>If old wording comes up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43447"/>
                <w:sz w:val="14"/>
              </w:rPr>
              <w:t>“I’d like us to use current reading evidence and needs; older wording alone does not tell us what support is needed now.”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37C8B"/>
                <w:sz w:val="14"/>
              </w:rPr>
              <w:t>Attendance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43447"/>
                <w:sz w:val="14"/>
              </w:rPr>
              <w:t>“What attendance information is relevant to interpreting this data, and what context should we keep in mind?” (Information to examine, not an assumed explanation.)</w:t>
            </w:r>
          </w:p>
        </w:tc>
        <w:tc>
          <w:tcPr>
            <w:tcW w:type="dxa" w:w="5544"/>
            <w:tcMar>
              <w:top w:w="65" w:type="dxa"/>
              <w:start w:w="90" w:type="dxa"/>
              <w:bottom w:w="55" w:type="dxa"/>
              <w:end w:w="90" w:type="dxa"/>
            </w:tcMar>
            <w:vAlign w:val="top"/>
            <w:tcBorders>
              <w:top w:val="single" w:sz="5" w:color="D4DEE5"/>
              <w:left w:val="single" w:sz="5" w:color="D4DEE5"/>
              <w:bottom w:val="single" w:sz="5" w:color="D4DEE5"/>
              <w:right w:val="single" w:sz="5" w:color="D4DEE5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37C8B"/>
                <w:sz w:val="16"/>
              </w:rPr>
              <w:t>2  ASK FOR AN IMPLEMENTABLE PLAN</w:t>
            </w:r>
          </w:p>
          <w:p>
            <w:pPr>
              <w:pStyle w:val="ListBullet"/>
              <w:spacing w:after="20" w:line="228" w:lineRule="auto"/>
              <w:ind w:left="202" w:hanging="144"/>
            </w:pPr>
            <w:r>
              <w:rPr>
                <w:rFonts w:ascii="Arial" w:hAnsi="Arial"/>
                <w:color w:val="243447"/>
                <w:sz w:val="14"/>
              </w:rPr>
              <w:t>“What measurable reading goal fits the established baseline? How will progress be measured, how often checked, and how/when will it be shared with me?”</w:t>
            </w:r>
          </w:p>
          <w:p>
            <w:pPr>
              <w:pStyle w:val="ListBullet"/>
              <w:spacing w:after="20" w:line="228" w:lineRule="auto"/>
              <w:ind w:left="202" w:hanging="144"/>
            </w:pPr>
            <w:r>
              <w:rPr>
                <w:rFonts w:ascii="Arial" w:hAnsi="Arial"/>
                <w:color w:val="243447"/>
                <w:sz w:val="14"/>
              </w:rPr>
              <w:t>“What targeted or specialized reading instruction is proposed? How is it different from an access accommodation?”</w:t>
            </w:r>
          </w:p>
          <w:p>
            <w:pPr>
              <w:pStyle w:val="ListBullet"/>
              <w:spacing w:after="20" w:line="228" w:lineRule="auto"/>
              <w:ind w:left="202" w:hanging="144"/>
            </w:pPr>
            <w:r>
              <w:rPr>
                <w:rFonts w:ascii="Arial" w:hAnsi="Arial"/>
                <w:color w:val="243447"/>
                <w:sz w:val="14"/>
              </w:rPr>
              <w:t>“If a service is agreed, what is the frequency/schedule, who is responsible, and where will it happen? Please avoid ‘as needed.’”</w:t>
            </w:r>
          </w:p>
          <w:p>
            <w:pPr>
              <w:pStyle w:val="ListBullet"/>
              <w:spacing w:after="20" w:line="228" w:lineRule="auto"/>
              <w:ind w:left="202" w:hanging="144"/>
            </w:pPr>
            <w:r>
              <w:rPr>
                <w:rFonts w:ascii="Arial" w:hAnsi="Arial"/>
                <w:color w:val="243447"/>
                <w:sz w:val="14"/>
              </w:rPr>
              <w:t>“What can begin now under the current or agreed plan, while any further review is considered?”</w:t>
            </w:r>
          </w:p>
          <w:p>
            <w:pPr>
              <w:pStyle w:val="ListBullet"/>
              <w:spacing w:after="20" w:line="228" w:lineRule="auto"/>
              <w:ind w:left="202" w:hanging="144"/>
            </w:pPr>
            <w:r>
              <w:rPr>
                <w:rFonts w:ascii="Arial" w:hAnsi="Arial"/>
                <w:color w:val="243447"/>
                <w:sz w:val="14"/>
              </w:rPr>
              <w:t>“How will instruction, materials, and communication stay continuous after placement changes?”</w:t>
            </w:r>
          </w:p>
          <w:p>
            <w:pPr>
              <w:pStyle w:val="ListBullet"/>
              <w:spacing w:after="20" w:line="228" w:lineRule="auto"/>
              <w:ind w:left="202" w:hanging="144"/>
            </w:pPr>
            <w:r>
              <w:rPr>
                <w:rFonts w:ascii="Arial" w:hAnsi="Arial"/>
                <w:color w:val="243447"/>
                <w:sz w:val="14"/>
              </w:rPr>
              <w:t>“Who is my point of contact, and what follow-up/review date should we put on the record?”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37C8B"/>
                <w:sz w:val="14"/>
              </w:rPr>
              <w:t>MY ROLE (clarify, don’t assume)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43447"/>
                <w:sz w:val="14"/>
              </w:rPr>
              <w:t>“I want my observations considered. Please tell me who is recognized to consent, sign, or receive formal notices. I will ask what a signature represents before signing.”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37C8B"/>
                <w:sz w:val="14"/>
              </w:rPr>
              <w:t>REQUESTS ≠ GUARANTEES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43447"/>
                <w:sz w:val="14"/>
              </w:rPr>
              <w:t>I can ask the team to consider supports; the team’s decision is not predetermined. If a request is declined, I can ask: “What is the reason and what information supports that decision?”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FFDF7"/>
            <w:tcMar>
              <w:top w:w="50" w:type="dxa"/>
              <w:start w:w="95" w:type="dxa"/>
              <w:bottom w:w="45" w:type="dxa"/>
              <w:end w:w="95" w:type="dxa"/>
            </w:tcMar>
            <w:tcBorders>
              <w:top w:val="single" w:sz="7" w:color="E5C66B"/>
              <w:left w:val="single" w:sz="7" w:color="E5C66B"/>
              <w:bottom w:val="single" w:sz="7" w:color="E5C66B"/>
              <w:right w:val="single" w:sz="7" w:color="E5C66B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8A6A16"/>
                <w:sz w:val="14"/>
              </w:rPr>
              <w:t>QUICK NOTES — write the answer, owner, and timing</w:t>
            </w:r>
          </w:p>
          <w:p>
            <w:pPr>
              <w:spacing w:after="20" w:line="216" w:lineRule="auto"/>
            </w:pPr>
            <w:r>
              <w:rPr>
                <w:rFonts w:ascii="Arial" w:hAnsi="Arial"/>
                <w:color w:val="4B5D6B"/>
                <w:sz w:val="14"/>
              </w:rPr>
              <w:t>Reading goal / evidence: ________________________________________________</w:t>
            </w:r>
          </w:p>
          <w:p>
            <w:pPr>
              <w:spacing w:after="20" w:line="216" w:lineRule="auto"/>
            </w:pPr>
            <w:r>
              <w:rPr>
                <w:rFonts w:ascii="Arial" w:hAnsi="Arial"/>
                <w:color w:val="4B5D6B"/>
                <w:sz w:val="14"/>
              </w:rPr>
              <w:t>Support details (who • how often • where): _________________________________</w:t>
            </w:r>
          </w:p>
          <w:p>
            <w:pPr>
              <w:spacing w:after="20" w:line="216" w:lineRule="auto"/>
            </w:pPr>
            <w:r>
              <w:rPr>
                <w:rFonts w:ascii="Arial" w:hAnsi="Arial"/>
                <w:color w:val="4B5D6B"/>
                <w:sz w:val="14"/>
              </w:rPr>
              <w:t>Decision or open item + reason: ___________________________________________</w:t>
            </w:r>
          </w:p>
          <w:p>
            <w:pPr>
              <w:spacing w:after="20" w:line="216" w:lineRule="auto"/>
            </w:pPr>
            <w:r>
              <w:rPr>
                <w:rFonts w:ascii="Arial" w:hAnsi="Arial"/>
                <w:color w:val="4B5D6B"/>
                <w:sz w:val="14"/>
              </w:rPr>
              <w:t>Contact + follow-up date: 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AF3EC"/>
            <w:tcMar>
              <w:top w:w="60" w:type="dxa"/>
              <w:start w:w="105" w:type="dxa"/>
              <w:bottom w:w="55" w:type="dxa"/>
              <w:end w:w="105" w:type="dxa"/>
            </w:tcMar>
            <w:tcBorders>
              <w:top w:val="single" w:sz="14" w:color="4B9B68"/>
              <w:left w:val="single" w:sz="14" w:color="4B9B68"/>
              <w:bottom w:val="single" w:sz="14" w:color="4B9B68"/>
              <w:right w:val="single" w:sz="14" w:color="4B9B6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2F7349"/>
                <w:sz w:val="14"/>
              </w:rPr>
              <w:t>CLOSE WITH (read back)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14A31"/>
                <w:sz w:val="16"/>
              </w:rPr>
              <w:t>“Let me read back what we decided: what starts now, how progress will be checked and shared, who does what, and by when. Please note any proposal declined or left open, with the reason. May I have the resulting plan or meeting record to review?”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490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8909C"/>
        <w:sz w:val="13"/>
      </w:rPr>
      <w:t>Prepared for Noor Aubert  •  Speak plainly. Ask for the record.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