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Closure governance memorandum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944"/>
            <w:shd w:fill="1F4E5F"/>
          </w:tcPr>
          <w:p>
            <w:r>
              <w:rPr>
                <w:b/>
                <w:color w:val="FFFFFF"/>
                <w:sz w:val="16"/>
              </w:rPr>
              <w:t>To</w:t>
            </w:r>
          </w:p>
        </w:tc>
        <w:tc>
          <w:tcPr>
            <w:tcW w:type="dxa" w:w="3240"/>
            <w:shd w:fill="1F4E5F"/>
          </w:tcPr>
          <w:p>
            <w:r>
              <w:rPr>
                <w:b/>
                <w:color w:val="FFFFFF"/>
                <w:sz w:val="16"/>
              </w:rPr>
              <w:t>From</w:t>
            </w:r>
          </w:p>
        </w:tc>
        <w:tc>
          <w:tcPr>
            <w:tcW w:type="dxa" w:w="1800"/>
            <w:shd w:fill="1F4E5F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3672"/>
            <w:shd w:fill="1F4E5F"/>
          </w:tcPr>
          <w:p>
            <w:r>
              <w:rPr>
                <w:b/>
                <w:color w:val="FFFFFF"/>
                <w:sz w:val="16"/>
              </w:rPr>
              <w:t>Subject</w:t>
            </w:r>
          </w:p>
        </w:tc>
      </w:tr>
      <w:tr>
        <w:tc>
          <w:tcPr>
            <w:tcW w:type="dxa" w:w="1944"/>
            <w:vAlign w:val="center"/>
            <w:shd w:fill="F7FBFC"/>
          </w:tcPr>
          <w:p>
            <w:pPr>
              <w:spacing w:after="0"/>
            </w:pPr>
            <w:r>
              <w:rPr>
                <w:sz w:val="16"/>
              </w:rPr>
              <w:t>Wilhelmina Escamilla</w:t>
            </w:r>
          </w:p>
        </w:tc>
        <w:tc>
          <w:tcPr>
            <w:tcW w:type="dxa" w:w="3240"/>
            <w:vAlign w:val="center"/>
            <w:shd w:fill="F7FBFC"/>
          </w:tcPr>
          <w:p>
            <w:pPr>
              <w:spacing w:after="0"/>
            </w:pPr>
            <w:r>
              <w:rPr>
                <w:sz w:val="16"/>
              </w:rPr>
              <w:t>Yewbank Associates - Planning Controls</w:t>
            </w:r>
          </w:p>
        </w:tc>
        <w:tc>
          <w:tcPr>
            <w:tcW w:type="dxa" w:w="1800"/>
            <w:vAlign w:val="center"/>
            <w:shd w:fill="F7FBFC"/>
          </w:tcPr>
          <w:p>
            <w:pPr>
              <w:spacing w:after="0"/>
            </w:pPr>
            <w:r>
              <w:rPr>
                <w:sz w:val="16"/>
              </w:rPr>
              <w:t>03 November 2027</w:t>
            </w:r>
          </w:p>
        </w:tc>
        <w:tc>
          <w:tcPr>
            <w:tcW w:type="dxa" w:w="3672"/>
            <w:vAlign w:val="center"/>
            <w:shd w:fill="F7FBFC"/>
          </w:tcPr>
          <w:p>
            <w:pPr>
              <w:spacing w:after="0"/>
            </w:pPr>
            <w:r>
              <w:rPr>
                <w:sz w:val="16"/>
              </w:rPr>
              <w:t>Sunderly Mutual open habitability case closure</w:t>
            </w:r>
          </w:p>
        </w:tc>
      </w:tr>
    </w:tbl>
    <w:p>
      <w:r>
        <w:t>This memorandum governs the planning correction for the 36 open cases in the accompanying operations export. It is a scheduling control, not evidence of tenant contact, inspection findings, qualifications beyond the roster, or completed case closure.</w:t>
      </w:r>
    </w:p>
    <w:p>
      <w:pPr>
        <w:pStyle w:val="Heading1"/>
      </w:pPr>
      <w:r>
        <w:t>1. Authority and cutoff</w:t>
      </w:r>
    </w:p>
    <w:p>
      <w:r>
        <w:t>Where the rejected draft conflicts with this memorandum, this memorandum controls. Work may be planned only on 04-05, 08-12, 15-19, and 22-23 November 2027, in the local half-day slots AM (08:30-12:30) and PM (13:30-17:30). The oversight submission cutoff is 24 November 2027 at 17:00 local time. A case is planned for closure only when Final Determination &amp; Closure Record (FDCR) follows its required inspection; no planning label is completion evidence.</w:t>
      </w:r>
    </w:p>
    <w:p>
      <w:pPr>
        <w:pStyle w:val="Heading1"/>
      </w:pPr>
      <w:r>
        <w:t>2. Required closure sequence</w:t>
      </w:r>
    </w:p>
    <w:p>
      <w:r>
        <w:t>Each source case requires Tenant Contact, then the jurisdiction-specific inspection below, then FDCR. The sequence is strict: activity dates and times must increase, and activities in the same half-day slot do not satisfy the predecessor rule. Tenant Contact is unavailable from 17 through 19 November inclusive. When a contact is delayed by that blackout, its inspection and FDCR may not occupy the blocked downstream slot; they must follow the actual contact time. Generic Property Review is not an accepted inspection step.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800"/>
            <w:shd w:fill="1F4E5F"/>
          </w:tcPr>
          <w:p>
            <w:r>
              <w:rPr>
                <w:b/>
                <w:color w:val="FFFFFF"/>
                <w:sz w:val="16"/>
              </w:rPr>
              <w:t>Case jurisdiction</w:t>
            </w:r>
          </w:p>
        </w:tc>
        <w:tc>
          <w:tcPr>
            <w:tcW w:type="dxa" w:w="3240"/>
            <w:shd w:fill="1F4E5F"/>
          </w:tcPr>
          <w:p>
            <w:r>
              <w:rPr>
                <w:b/>
                <w:color w:val="FFFFFF"/>
                <w:sz w:val="16"/>
              </w:rPr>
              <w:t>Required inspection</w:t>
            </w:r>
          </w:p>
        </w:tc>
        <w:tc>
          <w:tcPr>
            <w:tcW w:type="dxa" w:w="2088"/>
            <w:shd w:fill="1F4E5F"/>
          </w:tcPr>
          <w:p>
            <w:r>
              <w:rPr>
                <w:b/>
                <w:color w:val="FFFFFF"/>
                <w:sz w:val="16"/>
              </w:rPr>
              <w:t>Roster qualification</w:t>
            </w:r>
          </w:p>
        </w:tc>
        <w:tc>
          <w:tcPr>
            <w:tcW w:type="dxa" w:w="3672"/>
            <w:shd w:fill="1F4E5F"/>
          </w:tcPr>
          <w:p>
            <w:r>
              <w:rPr>
                <w:b/>
                <w:color w:val="FFFFFF"/>
                <w:sz w:val="16"/>
              </w:rPr>
              <w:t>Eligible roster names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6"/>
              </w:rPr>
              <w:t>Ontario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sz w:val="16"/>
              </w:rPr>
              <w:t>Ontario Habitability Inspection (OHI)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6"/>
              </w:rPr>
              <w:t>Ontario OHI qualification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6"/>
              </w:rPr>
              <w:t>Priya Ingram; Rowan Singh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6"/>
              </w:rPr>
              <w:t>Michigan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sz w:val="16"/>
              </w:rPr>
              <w:t>Michigan Habitability Inspection (MHI)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6"/>
              </w:rPr>
              <w:t>Michigan MHI qualification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6"/>
              </w:rPr>
              <w:t>Micah Pierce; Rowan Singh</w:t>
            </w:r>
          </w:p>
        </w:tc>
      </w:tr>
    </w:tbl>
    <w:p>
      <w:pPr>
        <w:pStyle w:val="Heading1"/>
      </w:pPr>
      <w:r>
        <w:t>3. Capacity, availability and routing</w:t>
      </w:r>
    </w:p>
    <w:p>
      <w:r>
        <w:t>Use only names in the supplied resource roster and only their marked Available slots. Each person may perform at most 4.0 case-work hours in a half-day and 8.0 case-work hours in a day. The dispatch ceiling is 12 case-activity records in a half-day. Tenant Contact and FDCR are mutually exclusive for the same owner in the same half-day, even if their nominal hours could fit. These controls apply in addition to, not instead of, qualification checks.</w:t>
      </w:r>
    </w:p>
    <w:p>
      <w:r>
        <w:t>Whenever the same owner moves from Ontario case work to Michigan case work, or from Michigan case work to Ontario case work, reserve a complete half-day as Jurisdiction Changeover immediately before the incoming jurisdiction's case work. The changeover is unavailable for case work, consumes 4.0 capacity hours, and carries 0.0 case-activity effort because it is not a source case activity. Show the changeover separately in owner capacity indicators. A jurisdiction change without this full half-day buffer is not eligible.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96"/>
            <w:shd w:fill="1F4E5F"/>
          </w:tcPr>
          <w:p>
            <w:r>
              <w:rPr>
                <w:b/>
                <w:color w:val="FFFFFF"/>
                <w:sz w:val="16"/>
              </w:rPr>
              <w:t>Exception</w:t>
            </w:r>
          </w:p>
        </w:tc>
        <w:tc>
          <w:tcPr>
            <w:tcW w:type="dxa" w:w="7704"/>
            <w:shd w:fill="1F4E5F"/>
          </w:tcPr>
          <w:p>
            <w:r>
              <w:rPr>
                <w:b/>
                <w:color w:val="FFFFFF"/>
                <w:sz w:val="16"/>
              </w:rPr>
              <w:t>Treatment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6"/>
              </w:rPr>
              <w:t>17-19 Nov tenant-contact blackout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>
              <w:rPr>
                <w:sz w:val="16"/>
              </w:rPr>
              <w:t>No Tenant Contact in any slot; downstream work follows the actual contact.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6"/>
              </w:rPr>
              <w:t>Approved unavailable roster slot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>
              <w:rPr>
                <w:sz w:val="16"/>
              </w:rPr>
              <w:t>No activity may be assigned, including a changeover.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6"/>
              </w:rPr>
              <w:t>Jurisdiction switch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>
              <w:rPr>
                <w:sz w:val="16"/>
              </w:rPr>
              <w:t>A full AM or PM Jurisdiction Changeover is required before incoming case work.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6"/>
              </w:rPr>
              <w:t>Rejected draft wording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>
              <w:rPr>
                <w:sz w:val="16"/>
              </w:rPr>
              <w:t>Keep it for comparison only; it does not override this memorandum.</w:t>
            </w:r>
          </w:p>
        </w:tc>
      </w:tr>
    </w:tbl>
    <w:p>
      <w:pPr>
        <w:pStyle w:val="Heading1"/>
      </w:pPr>
      <w:r>
        <w:t>4. Review vocabulary</w:t>
      </w:r>
    </w:p>
    <w:p>
      <w:r>
        <w:t>Use Planned for a future scheduled activity, Completed only when a supplied source independently supports completion, Forecast for a case not scheduled by the cutoff, Blocked for a rule-constrained unschedulable option, and Changeover for the non-case capacity reservation. Do not recast a source case fact, tenant response, inspection result, or credential. For this planning exercise, any full-completion choice means every case has a planned FDCR by the cutoff, not that the case is already completed.</w:t>
      </w:r>
    </w:p>
    <w:p>
      <w:r>
        <w:t>Control note: the resource roster and date-by-slot availability extract are the authoritative operational detail for named owners. The rejected draft does not establish an exception to them.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Closure governance memorandum | issued 03 November 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1F4E5F"/>
        <w:sz w:val="16"/>
      </w:rPr>
      <w:t>YEWBANK ASSOCIATES  |  OVERSIGHT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F4E5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4E5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5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