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Margin comparison basis</w:t>
      </w:r>
    </w:p>
    <w:p>
      <w:pPr>
        <w:spacing w:after="140"/>
      </w:pPr>
      <w:r>
        <w:rPr>
          <w:rFonts w:ascii="Aptos" w:hAnsi="Aptos"/>
          <w:color w:val="505F70"/>
          <w:sz w:val="20"/>
        </w:rPr>
        <w:t>Sunderly Media | issued 14 August 2025 | reference SM-25-14</w:t>
      </w:r>
    </w:p>
    <w:p>
      <w:pPr>
        <w:spacing w:after="120"/>
      </w:pPr>
      <w:r>
        <w:rPr>
          <w:b/>
        </w:rPr>
        <w:t xml:space="preserve">To: </w:t>
      </w:r>
      <w:r>
        <w:t>Iris Abara, Glassmere Fisheries</w:t>
        <w:br/>
      </w:r>
      <w:r>
        <w:rPr>
          <w:b/>
        </w:rPr>
        <w:t xml:space="preserve">From: </w:t>
      </w:r>
      <w:r>
        <w:t>Ana Ferreira, Sunderly Media</w:t>
        <w:br/>
      </w:r>
      <w:r>
        <w:rPr>
          <w:b/>
        </w:rPr>
        <w:t xml:space="preserve">Subject: </w:t>
      </w:r>
      <w:r>
        <w:t>basis for the Ontario and Michigan annual account-plan margin comparison</w:t>
      </w:r>
    </w:p>
    <w:p>
      <w:pPr>
        <w:pStyle w:val="Heading1"/>
      </w:pPr>
      <w:r>
        <w:t>Comparison boundary</w:t>
      </w:r>
    </w:p>
    <w:p>
      <w:r>
        <w:rPr>
          <w:b/>
        </w:rPr>
        <w:t xml:space="preserve">Scope is Ontario and Michigan only. </w:t>
      </w:r>
      <w:r>
        <w:t>All amounts are CAD annual account-plan amounts. Compare the FY2024 approved annual plan measures in the opening extract with the FY2025 annual account-plan state after eligible changes through the presentation cutoff. The FY2025 figure is a state at the cutoff, not a later workbook-preparation date.</w:t>
      </w:r>
    </w:p>
    <w:tbl>
      <w:tblPr>
        <w:tblStyle w:val="TableGrid"/>
        <w:tblW w:type="auto" w:w="0"/>
        <w:tblLayout w:type="fixed"/>
        <w:tblLook w:firstColumn="1" w:firstRow="1" w:lastColumn="0" w:lastRow="0" w:noHBand="0" w:noVBand="1" w:val="04A0"/>
      </w:tblPr>
      <w:tblGrid>
        <w:gridCol w:w="3437"/>
        <w:gridCol w:w="3437"/>
        <w:gridCol w:w="3437"/>
      </w:tblGrid>
      <w:tr>
        <w:tc>
          <w:tcPr>
            <w:tcW w:type="dxa" w:w="1944"/>
            <w:shd w:fill="17365D"/>
            <w:tcMar>
              <w:top w:w="80" w:type="dxa"/>
              <w:start w:w="90" w:type="dxa"/>
              <w:bottom w:w="80" w:type="dxa"/>
              <w:end w:w="90" w:type="dxa"/>
            </w:tcMar>
            <w:vAlign w:val="center"/>
          </w:tcPr>
          <w:p>
            <w:r>
              <w:rPr>
                <w:rFonts w:ascii="Aptos" w:hAnsi="Aptos"/>
                <w:b/>
                <w:color w:val="FFFFFF"/>
                <w:sz w:val="16"/>
              </w:rPr>
              <w:t>Parameter</w:t>
            </w:r>
          </w:p>
        </w:tc>
        <w:tc>
          <w:tcPr>
            <w:tcW w:type="dxa" w:w="3240"/>
            <w:shd w:fill="17365D"/>
            <w:tcMar>
              <w:top w:w="80" w:type="dxa"/>
              <w:start w:w="90" w:type="dxa"/>
              <w:bottom w:w="80" w:type="dxa"/>
              <w:end w:w="90" w:type="dxa"/>
            </w:tcMar>
            <w:vAlign w:val="center"/>
          </w:tcPr>
          <w:p>
            <w:r>
              <w:rPr>
                <w:rFonts w:ascii="Aptos" w:hAnsi="Aptos"/>
                <w:b/>
                <w:color w:val="FFFFFF"/>
                <w:sz w:val="16"/>
              </w:rPr>
              <w:t>Value</w:t>
            </w:r>
          </w:p>
        </w:tc>
        <w:tc>
          <w:tcPr>
            <w:tcW w:type="dxa" w:w="5328"/>
            <w:shd w:fill="17365D"/>
            <w:tcMar>
              <w:top w:w="80" w:type="dxa"/>
              <w:start w:w="90" w:type="dxa"/>
              <w:bottom w:w="80" w:type="dxa"/>
              <w:end w:w="90" w:type="dxa"/>
            </w:tcMar>
            <w:vAlign w:val="center"/>
          </w:tcPr>
          <w:p>
            <w:r>
              <w:rPr>
                <w:rFonts w:ascii="Aptos" w:hAnsi="Aptos"/>
                <w:b/>
                <w:color w:val="FFFFFF"/>
                <w:sz w:val="16"/>
              </w:rPr>
              <w:t>Application</w:t>
            </w:r>
          </w:p>
        </w:tc>
      </w:tr>
      <w:tr>
        <w:tc>
          <w:tcPr>
            <w:tcW w:type="dxa" w:w="1944"/>
            <w:tcMar>
              <w:top w:w="80" w:type="dxa"/>
              <w:start w:w="90" w:type="dxa"/>
              <w:bottom w:w="80" w:type="dxa"/>
              <w:end w:w="90" w:type="dxa"/>
            </w:tcMar>
            <w:vAlign w:val="center"/>
          </w:tcPr>
          <w:p>
            <w:pPr>
              <w:spacing w:after="0"/>
            </w:pPr>
            <w:r>
              <w:rPr>
                <w:rFonts w:ascii="Aptos" w:hAnsi="Aptos"/>
                <w:sz w:val="16"/>
              </w:rPr>
              <w:t>Presentation cutoff</w:t>
            </w:r>
          </w:p>
        </w:tc>
        <w:tc>
          <w:tcPr>
            <w:tcW w:type="dxa" w:w="3240"/>
            <w:tcMar>
              <w:top w:w="80" w:type="dxa"/>
              <w:start w:w="90" w:type="dxa"/>
              <w:bottom w:w="80" w:type="dxa"/>
              <w:end w:w="90" w:type="dxa"/>
            </w:tcMar>
            <w:vAlign w:val="center"/>
          </w:tcPr>
          <w:p>
            <w:pPr>
              <w:spacing w:after="0"/>
            </w:pPr>
            <w:r>
              <w:rPr>
                <w:rFonts w:ascii="Aptos" w:hAnsi="Aptos"/>
                <w:sz w:val="16"/>
              </w:rPr>
              <w:t>31 Aug 2025, 17:00 ET</w:t>
            </w:r>
          </w:p>
        </w:tc>
        <w:tc>
          <w:tcPr>
            <w:tcW w:type="dxa" w:w="5328"/>
            <w:tcMar>
              <w:top w:w="80" w:type="dxa"/>
              <w:start w:w="90" w:type="dxa"/>
              <w:bottom w:w="80" w:type="dxa"/>
              <w:end w:w="90" w:type="dxa"/>
            </w:tcMar>
            <w:vAlign w:val="center"/>
          </w:tcPr>
          <w:p>
            <w:pPr>
              <w:spacing w:after="0"/>
            </w:pPr>
            <w:r>
              <w:rPr>
                <w:rFonts w:ascii="Aptos" w:hAnsi="Aptos"/>
                <w:sz w:val="16"/>
              </w:rPr>
              <w:t>Apply eligible event states through this time.</w:t>
            </w:r>
          </w:p>
        </w:tc>
      </w:tr>
      <w:tr>
        <w:tc>
          <w:tcPr>
            <w:tcW w:type="dxa" w:w="1944"/>
            <w:tcMar>
              <w:top w:w="80" w:type="dxa"/>
              <w:start w:w="90" w:type="dxa"/>
              <w:bottom w:w="80" w:type="dxa"/>
              <w:end w:w="90" w:type="dxa"/>
            </w:tcMar>
            <w:vAlign w:val="center"/>
            <w:shd w:fill="F7FAFC"/>
          </w:tcPr>
          <w:p>
            <w:pPr>
              <w:spacing w:after="0"/>
            </w:pPr>
            <w:r>
              <w:rPr>
                <w:rFonts w:ascii="Aptos" w:hAnsi="Aptos"/>
                <w:sz w:val="16"/>
              </w:rPr>
              <w:t>Prior comparison period</w:t>
            </w:r>
          </w:p>
        </w:tc>
        <w:tc>
          <w:tcPr>
            <w:tcW w:type="dxa" w:w="3240"/>
            <w:tcMar>
              <w:top w:w="80" w:type="dxa"/>
              <w:start w:w="90" w:type="dxa"/>
              <w:bottom w:w="80" w:type="dxa"/>
              <w:end w:w="90" w:type="dxa"/>
            </w:tcMar>
            <w:vAlign w:val="center"/>
            <w:shd w:fill="F7FAFC"/>
          </w:tcPr>
          <w:p>
            <w:pPr>
              <w:spacing w:after="0"/>
            </w:pPr>
            <w:r>
              <w:rPr>
                <w:rFonts w:ascii="Aptos" w:hAnsi="Aptos"/>
                <w:sz w:val="16"/>
              </w:rPr>
              <w:t>FY2024 approved annual plan</w:t>
            </w:r>
          </w:p>
        </w:tc>
        <w:tc>
          <w:tcPr>
            <w:tcW w:type="dxa" w:w="5328"/>
            <w:tcMar>
              <w:top w:w="80" w:type="dxa"/>
              <w:start w:w="90" w:type="dxa"/>
              <w:bottom w:w="80" w:type="dxa"/>
              <w:end w:w="90" w:type="dxa"/>
            </w:tcMar>
            <w:vAlign w:val="center"/>
            <w:shd w:fill="F7FAFC"/>
          </w:tcPr>
          <w:p>
            <w:pPr>
              <w:spacing w:after="0"/>
            </w:pPr>
            <w:r>
              <w:rPr>
                <w:rFonts w:ascii="Aptos" w:hAnsi="Aptos"/>
                <w:sz w:val="16"/>
              </w:rPr>
              <w:t>Use opening-extract prior revenue and cost; do not change them with ledger events.</w:t>
            </w:r>
          </w:p>
        </w:tc>
      </w:tr>
      <w:tr>
        <w:tc>
          <w:tcPr>
            <w:tcW w:type="dxa" w:w="1944"/>
            <w:tcMar>
              <w:top w:w="80" w:type="dxa"/>
              <w:start w:w="90" w:type="dxa"/>
              <w:bottom w:w="80" w:type="dxa"/>
              <w:end w:w="90" w:type="dxa"/>
            </w:tcMar>
            <w:vAlign w:val="center"/>
          </w:tcPr>
          <w:p>
            <w:pPr>
              <w:spacing w:after="0"/>
            </w:pPr>
            <w:r>
              <w:rPr>
                <w:rFonts w:ascii="Aptos" w:hAnsi="Aptos"/>
                <w:sz w:val="16"/>
              </w:rPr>
              <w:t>Current comparison period</w:t>
            </w:r>
          </w:p>
        </w:tc>
        <w:tc>
          <w:tcPr>
            <w:tcW w:type="dxa" w:w="3240"/>
            <w:tcMar>
              <w:top w:w="80" w:type="dxa"/>
              <w:start w:w="90" w:type="dxa"/>
              <w:bottom w:w="80" w:type="dxa"/>
              <w:end w:w="90" w:type="dxa"/>
            </w:tcMar>
            <w:vAlign w:val="center"/>
          </w:tcPr>
          <w:p>
            <w:pPr>
              <w:spacing w:after="0"/>
            </w:pPr>
            <w:r>
              <w:rPr>
                <w:rFonts w:ascii="Aptos" w:hAnsi="Aptos"/>
                <w:sz w:val="16"/>
              </w:rPr>
              <w:t>FY2025 annual plan state through cutoff</w:t>
            </w:r>
          </w:p>
        </w:tc>
        <w:tc>
          <w:tcPr>
            <w:tcW w:type="dxa" w:w="5328"/>
            <w:tcMar>
              <w:top w:w="80" w:type="dxa"/>
              <w:start w:w="90" w:type="dxa"/>
              <w:bottom w:w="80" w:type="dxa"/>
              <w:end w:w="90" w:type="dxa"/>
            </w:tcMar>
            <w:vAlign w:val="center"/>
          </w:tcPr>
          <w:p>
            <w:pPr>
              <w:spacing w:after="0"/>
            </w:pPr>
            <w:r>
              <w:rPr>
                <w:rFonts w:ascii="Aptos" w:hAnsi="Aptos"/>
                <w:sz w:val="16"/>
              </w:rPr>
              <w:t>Start with FY2025 opening amounts and replay qualifying events.</w:t>
            </w:r>
          </w:p>
        </w:tc>
      </w:tr>
      <w:tr>
        <w:tc>
          <w:tcPr>
            <w:tcW w:type="dxa" w:w="1944"/>
            <w:tcMar>
              <w:top w:w="80" w:type="dxa"/>
              <w:start w:w="90" w:type="dxa"/>
              <w:bottom w:w="80" w:type="dxa"/>
              <w:end w:w="90" w:type="dxa"/>
            </w:tcMar>
            <w:vAlign w:val="center"/>
            <w:shd w:fill="F7FAFC"/>
          </w:tcPr>
          <w:p>
            <w:pPr>
              <w:spacing w:after="0"/>
            </w:pPr>
            <w:r>
              <w:rPr>
                <w:rFonts w:ascii="Aptos" w:hAnsi="Aptos"/>
                <w:sz w:val="16"/>
              </w:rPr>
              <w:t>Plan version selection</w:t>
            </w:r>
          </w:p>
        </w:tc>
        <w:tc>
          <w:tcPr>
            <w:tcW w:type="dxa" w:w="3240"/>
            <w:tcMar>
              <w:top w:w="80" w:type="dxa"/>
              <w:start w:w="90" w:type="dxa"/>
              <w:bottom w:w="80" w:type="dxa"/>
              <w:end w:w="90" w:type="dxa"/>
            </w:tcMar>
            <w:vAlign w:val="center"/>
            <w:shd w:fill="F7FAFC"/>
          </w:tcPr>
          <w:p>
            <w:pPr>
              <w:spacing w:after="0"/>
            </w:pPr>
            <w:r>
              <w:rPr>
                <w:rFonts w:ascii="Aptos" w:hAnsi="Aptos"/>
                <w:sz w:val="16"/>
              </w:rPr>
              <w:t>Latest Approved Ontario &amp; Michigan version effective on/before cutoff</w:t>
            </w:r>
          </w:p>
        </w:tc>
        <w:tc>
          <w:tcPr>
            <w:tcW w:type="dxa" w:w="5328"/>
            <w:tcMar>
              <w:top w:w="80" w:type="dxa"/>
              <w:start w:w="90" w:type="dxa"/>
              <w:bottom w:w="80" w:type="dxa"/>
              <w:end w:w="90" w:type="dxa"/>
            </w:tcMar>
            <w:vAlign w:val="center"/>
            <w:shd w:fill="F7FAFC"/>
          </w:tcPr>
          <w:p>
            <w:pPr>
              <w:spacing w:after="0"/>
            </w:pPr>
            <w:r>
              <w:rPr>
                <w:rFonts w:ascii="Aptos" w:hAnsi="Aptos"/>
                <w:sz w:val="16"/>
              </w:rPr>
              <w:t>Effective date governs; preparation and workbook dates do not select a version.</w:t>
            </w:r>
          </w:p>
        </w:tc>
      </w:tr>
      <w:tr>
        <w:tc>
          <w:tcPr>
            <w:tcW w:type="dxa" w:w="1944"/>
            <w:tcMar>
              <w:top w:w="80" w:type="dxa"/>
              <w:start w:w="90" w:type="dxa"/>
              <w:bottom w:w="80" w:type="dxa"/>
              <w:end w:w="90" w:type="dxa"/>
            </w:tcMar>
            <w:vAlign w:val="center"/>
          </w:tcPr>
          <w:p>
            <w:pPr>
              <w:spacing w:after="0"/>
            </w:pPr>
            <w:r>
              <w:rPr>
                <w:rFonts w:ascii="Aptos" w:hAnsi="Aptos"/>
                <w:sz w:val="16"/>
              </w:rPr>
              <w:t>Currency / units</w:t>
            </w:r>
          </w:p>
        </w:tc>
        <w:tc>
          <w:tcPr>
            <w:tcW w:type="dxa" w:w="3240"/>
            <w:tcMar>
              <w:top w:w="80" w:type="dxa"/>
              <w:start w:w="90" w:type="dxa"/>
              <w:bottom w:w="80" w:type="dxa"/>
              <w:end w:w="90" w:type="dxa"/>
            </w:tcMar>
            <w:vAlign w:val="center"/>
          </w:tcPr>
          <w:p>
            <w:pPr>
              <w:spacing w:after="0"/>
            </w:pPr>
            <w:r>
              <w:rPr>
                <w:rFonts w:ascii="Aptos" w:hAnsi="Aptos"/>
                <w:sz w:val="16"/>
              </w:rPr>
              <w:t>CAD / annual account-plan amounts</w:t>
            </w:r>
          </w:p>
        </w:tc>
        <w:tc>
          <w:tcPr>
            <w:tcW w:type="dxa" w:w="5328"/>
            <w:tcMar>
              <w:top w:w="80" w:type="dxa"/>
              <w:start w:w="90" w:type="dxa"/>
              <w:bottom w:w="80" w:type="dxa"/>
              <w:end w:w="90" w:type="dxa"/>
            </w:tcMar>
            <w:vAlign w:val="center"/>
          </w:tcPr>
          <w:p>
            <w:pPr>
              <w:spacing w:after="0"/>
            </w:pPr>
            <w:r>
              <w:rPr>
                <w:rFonts w:ascii="Aptos" w:hAnsi="Aptos"/>
                <w:sz w:val="16"/>
              </w:rPr>
              <w:t>No conversion or annualisation is required.</w:t>
            </w:r>
          </w:p>
        </w:tc>
      </w:tr>
    </w:tbl>
    <w:p>
      <w:pPr>
        <w:spacing w:after="20"/>
      </w:pPr>
    </w:p>
    <w:p>
      <w:pPr>
        <w:pStyle w:val="Heading1"/>
      </w:pPr>
      <w:r>
        <w:t>State and rate treatment</w:t>
      </w:r>
    </w:p>
    <w:p>
      <w:r>
        <w:rPr>
          <w:b/>
        </w:rPr>
        <w:t xml:space="preserve">Replay order. </w:t>
      </w:r>
      <w:r>
        <w:t>Use event effective date order. Add events add the revenue and cost amounts; Replace events supersede the current state with the revenue and cost amounts shown. An event is not applied outside the selected version, stated scope, or cutoff.</w:t>
      </w:r>
    </w:p>
    <w:p>
      <w:r>
        <w:rPr>
          <w:b/>
        </w:rPr>
        <w:t xml:space="preserve">Measures. </w:t>
      </w:r>
      <w:r>
        <w:t>Margin dollars = revenue minus cost. Margin rate = margin dollars divided by revenue. Rate movement is shown in percentage points. Jurisdiction and combined rates must be calculated from summed eligible revenue and margin, never from an average of account rates.</w:t>
      </w:r>
    </w:p>
    <w:p>
      <w:r>
        <w:rPr>
          <w:b/>
        </w:rPr>
        <w:t xml:space="preserve">Zero-denominator convention. </w:t>
      </w:r>
      <w:r>
        <w:t>Where revenue is zero, show the rate and rate movement as N/M. Retain the monetary values, but exclude that record from row-rate comparison and aggregate rate numerator and denominator. Do not infer a rate or a missing monetary amount.</w:t>
      </w:r>
    </w:p>
    <w:p>
      <w:pPr>
        <w:pStyle w:val="Heading1"/>
      </w:pPr>
      <w:r>
        <w:t>FY2026 scenario calculation</w:t>
      </w:r>
    </w:p>
    <w:p>
      <w:r>
        <w:t>The following are supplied calculation assumptions, not observed results. For each row, calculate projected revenue as reconciled FY2025 revenue × (1 + scenario revenue change) + FY26 Rev overlay. Calculate projected cost as reconciled FY2025 cost × (1 + scenario cost change) + FY26 Cost input. Round projected monetary outputs to the nearest CAD.</w:t>
      </w:r>
    </w:p>
    <w:tbl>
      <w:tblPr>
        <w:tblStyle w:val="TableGrid"/>
        <w:tblW w:type="auto" w:w="0"/>
        <w:tblLayout w:type="fixed"/>
        <w:tblLook w:firstColumn="1" w:firstRow="1" w:lastColumn="0" w:lastRow="0" w:noHBand="0" w:noVBand="1" w:val="04A0"/>
      </w:tblPr>
      <w:tblGrid>
        <w:gridCol w:w="2577"/>
        <w:gridCol w:w="2577"/>
        <w:gridCol w:w="2577"/>
        <w:gridCol w:w="2577"/>
      </w:tblGrid>
      <w:tr>
        <w:tc>
          <w:tcPr>
            <w:tcW w:type="dxa" w:w="3240"/>
            <w:shd w:fill="17365D"/>
            <w:tcMar>
              <w:top w:w="80" w:type="dxa"/>
              <w:start w:w="90" w:type="dxa"/>
              <w:bottom w:w="80" w:type="dxa"/>
              <w:end w:w="90" w:type="dxa"/>
            </w:tcMar>
            <w:vAlign w:val="center"/>
          </w:tcPr>
          <w:p>
            <w:r>
              <w:rPr>
                <w:rFonts w:ascii="Aptos" w:hAnsi="Aptos"/>
                <w:b/>
                <w:color w:val="FFFFFF"/>
                <w:sz w:val="16"/>
              </w:rPr>
              <w:t>Scenario</w:t>
            </w:r>
          </w:p>
        </w:tc>
        <w:tc>
          <w:tcPr>
            <w:tcW w:type="dxa" w:w="1440"/>
            <w:shd w:fill="17365D"/>
            <w:tcMar>
              <w:top w:w="80" w:type="dxa"/>
              <w:start w:w="90" w:type="dxa"/>
              <w:bottom w:w="80" w:type="dxa"/>
              <w:end w:w="90" w:type="dxa"/>
            </w:tcMar>
            <w:vAlign w:val="center"/>
          </w:tcPr>
          <w:p>
            <w:r>
              <w:rPr>
                <w:rFonts w:ascii="Aptos" w:hAnsi="Aptos"/>
                <w:b/>
                <w:color w:val="FFFFFF"/>
                <w:sz w:val="16"/>
              </w:rPr>
              <w:t>Revenue change</w:t>
            </w:r>
          </w:p>
        </w:tc>
        <w:tc>
          <w:tcPr>
            <w:tcW w:type="dxa" w:w="1440"/>
            <w:shd w:fill="17365D"/>
            <w:tcMar>
              <w:top w:w="80" w:type="dxa"/>
              <w:start w:w="90" w:type="dxa"/>
              <w:bottom w:w="80" w:type="dxa"/>
              <w:end w:w="90" w:type="dxa"/>
            </w:tcMar>
            <w:vAlign w:val="center"/>
          </w:tcPr>
          <w:p>
            <w:r>
              <w:rPr>
                <w:rFonts w:ascii="Aptos" w:hAnsi="Aptos"/>
                <w:b/>
                <w:color w:val="FFFFFF"/>
                <w:sz w:val="16"/>
              </w:rPr>
              <w:t>Cost change</w:t>
            </w:r>
          </w:p>
        </w:tc>
        <w:tc>
          <w:tcPr>
            <w:tcW w:type="dxa" w:w="4392"/>
            <w:shd w:fill="17365D"/>
            <w:tcMar>
              <w:top w:w="80" w:type="dxa"/>
              <w:start w:w="90" w:type="dxa"/>
              <w:bottom w:w="80" w:type="dxa"/>
              <w:end w:w="90" w:type="dxa"/>
            </w:tcMar>
            <w:vAlign w:val="center"/>
          </w:tcPr>
          <w:p>
            <w:r>
              <w:rPr>
                <w:rFonts w:ascii="Aptos" w:hAnsi="Aptos"/>
                <w:b/>
                <w:color w:val="FFFFFF"/>
                <w:sz w:val="16"/>
              </w:rPr>
              <w:t>Formula use</w:t>
            </w:r>
          </w:p>
        </w:tc>
      </w:tr>
      <w:tr>
        <w:tc>
          <w:tcPr>
            <w:tcW w:type="dxa" w:w="3240"/>
            <w:tcMar>
              <w:top w:w="80" w:type="dxa"/>
              <w:start w:w="90" w:type="dxa"/>
              <w:bottom w:w="80" w:type="dxa"/>
              <w:end w:w="90" w:type="dxa"/>
            </w:tcMar>
            <w:vAlign w:val="center"/>
          </w:tcPr>
          <w:p>
            <w:pPr>
              <w:spacing w:after="0"/>
            </w:pPr>
            <w:r>
              <w:rPr>
                <w:rFonts w:ascii="Aptos" w:hAnsi="Aptos"/>
                <w:sz w:val="16"/>
              </w:rPr>
              <w:t>Scenario A - Measured carry-forward</w:t>
            </w:r>
          </w:p>
        </w:tc>
        <w:tc>
          <w:tcPr>
            <w:tcW w:type="dxa" w:w="1440"/>
            <w:tcMar>
              <w:top w:w="80" w:type="dxa"/>
              <w:start w:w="90" w:type="dxa"/>
              <w:bottom w:w="80" w:type="dxa"/>
              <w:end w:w="90" w:type="dxa"/>
            </w:tcMar>
            <w:vAlign w:val="center"/>
          </w:tcPr>
          <w:p>
            <w:pPr>
              <w:spacing w:after="0"/>
            </w:pPr>
            <w:r>
              <w:rPr>
                <w:rFonts w:ascii="Aptos" w:hAnsi="Aptos"/>
                <w:sz w:val="16"/>
              </w:rPr>
              <w:t>+2.5%</w:t>
            </w:r>
          </w:p>
        </w:tc>
        <w:tc>
          <w:tcPr>
            <w:tcW w:type="dxa" w:w="1440"/>
            <w:tcMar>
              <w:top w:w="80" w:type="dxa"/>
              <w:start w:w="90" w:type="dxa"/>
              <w:bottom w:w="80" w:type="dxa"/>
              <w:end w:w="90" w:type="dxa"/>
            </w:tcMar>
            <w:vAlign w:val="center"/>
          </w:tcPr>
          <w:p>
            <w:pPr>
              <w:spacing w:after="0"/>
            </w:pPr>
            <w:r>
              <w:rPr>
                <w:rFonts w:ascii="Aptos" w:hAnsi="Aptos"/>
                <w:sz w:val="16"/>
              </w:rPr>
              <w:t>+3.0%</w:t>
            </w:r>
          </w:p>
        </w:tc>
        <w:tc>
          <w:tcPr>
            <w:tcW w:type="dxa" w:w="4392"/>
            <w:tcMar>
              <w:top w:w="80" w:type="dxa"/>
              <w:start w:w="90" w:type="dxa"/>
              <w:bottom w:w="80" w:type="dxa"/>
              <w:end w:w="90" w:type="dxa"/>
            </w:tcMar>
            <w:vAlign w:val="center"/>
          </w:tcPr>
          <w:p>
            <w:pPr>
              <w:spacing w:after="0"/>
            </w:pPr>
            <w:r>
              <w:rPr>
                <w:rFonts w:ascii="Aptos" w:hAnsi="Aptos"/>
                <w:sz w:val="16"/>
              </w:rPr>
              <w:t>Apply to reconciled FY2025 state, then add source overlay/input.</w:t>
            </w:r>
          </w:p>
        </w:tc>
      </w:tr>
      <w:tr>
        <w:tc>
          <w:tcPr>
            <w:tcW w:type="dxa" w:w="3240"/>
            <w:tcMar>
              <w:top w:w="80" w:type="dxa"/>
              <w:start w:w="90" w:type="dxa"/>
              <w:bottom w:w="80" w:type="dxa"/>
              <w:end w:w="90" w:type="dxa"/>
            </w:tcMar>
            <w:vAlign w:val="center"/>
            <w:shd w:fill="F7FAFC"/>
          </w:tcPr>
          <w:p>
            <w:pPr>
              <w:spacing w:after="0"/>
            </w:pPr>
            <w:r>
              <w:rPr>
                <w:rFonts w:ascii="Aptos" w:hAnsi="Aptos"/>
                <w:sz w:val="16"/>
              </w:rPr>
              <w:t>Scenario B - Cost variance</w:t>
            </w:r>
          </w:p>
        </w:tc>
        <w:tc>
          <w:tcPr>
            <w:tcW w:type="dxa" w:w="1440"/>
            <w:tcMar>
              <w:top w:w="80" w:type="dxa"/>
              <w:start w:w="90" w:type="dxa"/>
              <w:bottom w:w="80" w:type="dxa"/>
              <w:end w:w="90" w:type="dxa"/>
            </w:tcMar>
            <w:vAlign w:val="center"/>
            <w:shd w:fill="F7FAFC"/>
          </w:tcPr>
          <w:p>
            <w:pPr>
              <w:spacing w:after="0"/>
            </w:pPr>
            <w:r>
              <w:rPr>
                <w:rFonts w:ascii="Aptos" w:hAnsi="Aptos"/>
                <w:sz w:val="16"/>
              </w:rPr>
              <w:t>+0.5%</w:t>
            </w:r>
          </w:p>
        </w:tc>
        <w:tc>
          <w:tcPr>
            <w:tcW w:type="dxa" w:w="1440"/>
            <w:tcMar>
              <w:top w:w="80" w:type="dxa"/>
              <w:start w:w="90" w:type="dxa"/>
              <w:bottom w:w="80" w:type="dxa"/>
              <w:end w:w="90" w:type="dxa"/>
            </w:tcMar>
            <w:vAlign w:val="center"/>
            <w:shd w:fill="F7FAFC"/>
          </w:tcPr>
          <w:p>
            <w:pPr>
              <w:spacing w:after="0"/>
            </w:pPr>
            <w:r>
              <w:rPr>
                <w:rFonts w:ascii="Aptos" w:hAnsi="Aptos"/>
                <w:sz w:val="16"/>
              </w:rPr>
              <w:t>+4.5%</w:t>
            </w:r>
          </w:p>
        </w:tc>
        <w:tc>
          <w:tcPr>
            <w:tcW w:type="dxa" w:w="4392"/>
            <w:tcMar>
              <w:top w:w="80" w:type="dxa"/>
              <w:start w:w="90" w:type="dxa"/>
              <w:bottom w:w="80" w:type="dxa"/>
              <w:end w:w="90" w:type="dxa"/>
            </w:tcMar>
            <w:vAlign w:val="center"/>
            <w:shd w:fill="F7FAFC"/>
          </w:tcPr>
          <w:p>
            <w:pPr>
              <w:spacing w:after="0"/>
            </w:pPr>
            <w:r>
              <w:rPr>
                <w:rFonts w:ascii="Aptos" w:hAnsi="Aptos"/>
                <w:sz w:val="16"/>
              </w:rPr>
              <w:t>Apply to reconciled FY2025 state, then add source overlay/input.</w:t>
            </w:r>
          </w:p>
        </w:tc>
      </w:tr>
    </w:tbl>
    <w:p>
      <w:pPr>
        <w:spacing w:after="20"/>
      </w:pPr>
    </w:p>
    <w:p>
      <w:r>
        <w:rPr>
          <w:b/>
        </w:rPr>
        <w:t xml:space="preserve">Missing forecast cost input. </w:t>
      </w:r>
      <w:r>
        <w:t>A blank FY26 Cost input is not zero. For that record, leave projected cost, margin, and rate blank; do not use an estimate or substitute. Projection totals and rates must identify that they use only records with both required forecast amounts.</w:t>
      </w:r>
    </w:p>
    <w:p>
      <w:pPr>
        <w:spacing w:before="60" w:after="0"/>
      </w:pPr>
      <w:r>
        <w:rPr>
          <w:i/>
        </w:rPr>
        <w:t>For the presentation, state observed variances, source limitations, and calculation implications factually. This basis does not support a sales recommendation or causal explanation beyond the supplied records.</w:t>
      </w:r>
    </w:p>
    <w:sectPr w:rsidR="00FC693F" w:rsidRPr="0006063C" w:rsidSect="00034616">
      <w:footerReference w:type="default" r:id="rId9"/>
      <w:pgSz w:w="12240" w:h="15840"/>
      <w:pgMar w:top="835" w:right="965" w:bottom="792"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Sunderly Media | Margin comparison basis | SM-25-14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