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73B57"/>
          <w:sz w:val="32"/>
        </w:rPr>
        <w:t>FAMILY TEAM MEETING  /  NEGOTIATION PLAN</w:t>
      </w:r>
    </w:p>
    <w:p>
      <w:pPr>
        <w:spacing w:after="80" w:before="0" w:line="245" w:lineRule="auto"/>
      </w:pPr>
      <w:r>
        <w:rPr>
          <w:rFonts w:ascii="Aptos" w:hAnsi="Aptos"/>
          <w:b w:val="0"/>
          <w:color w:val="52616B"/>
          <w:sz w:val="15"/>
        </w:rPr>
        <w:t>For Ainsley Calderon, family social worker • Prepared for Kaia Villanueva, Joaquin Wickramasinghe, Delphine Falconer, Priya Kowalczyk, and Fatou Delacroix</w:t>
      </w:r>
    </w:p>
    <w:tbl>
      <w:tblPr>
        <w:tblW w:type="auto" w:w="0"/>
        <w:tblLayout w:type="fixed"/>
        <w:tblLook w:firstColumn="1" w:firstRow="1" w:lastColumn="0" w:lastRow="0" w:noHBand="0" w:noVBand="1" w:val="04A0"/>
      </w:tblPr>
      <w:tblGrid>
        <w:gridCol w:w="10858"/>
      </w:tblGrid>
      <w:tr>
        <w:tc>
          <w:tcPr>
            <w:tcW w:type="dxa" w:w="10858"/>
            <w:shd w:fill="EAF3F4"/>
            <w:tcBorders>
              <w:top w:val="single" w:sz="6" w:color="B7D5D7"/>
              <w:left w:val="single" w:sz="6" w:color="B7D5D7"/>
              <w:bottom w:val="single" w:sz="6" w:color="B7D5D7"/>
              <w:right w:val="single" w:sz="6" w:color="B7D5D7"/>
            </w:tcBorders>
            <w:tcMar>
              <w:top w:w="90" w:type="dxa"/>
              <w:start w:w="130" w:type="dxa"/>
              <w:bottom w:w="90" w:type="dxa"/>
              <w:end w:w="130" w:type="dxa"/>
            </w:tcMar>
          </w:tcPr>
          <w:p>
            <w:pPr>
              <w:spacing w:after="0" w:before="0" w:line="247" w:lineRule="auto"/>
            </w:pPr>
            <w:r>
              <w:rPr>
                <w:rFonts w:ascii="Aptos" w:hAnsi="Aptos"/>
                <w:b/>
                <w:color w:val="173B57"/>
                <w:sz w:val="17"/>
              </w:rPr>
              <w:t>Family situation &amp; meeting purpose</w:t>
            </w:r>
            <w:r>
              <w:rPr>
                <w:rFonts w:ascii="Aptos" w:hAnsi="Aptos"/>
                <w:b w:val="0"/>
                <w:color w:val="1E2933"/>
                <w:sz w:val="16"/>
              </w:rPr>
              <w:t>At Tuesday’s meeting with Marrowdale Unified’s special-education director, the district has offered 30 minutes of school-based counselling each week and no transportation. The family has made clear that reliable travel to and from school is the condition they cannot live without. The purpose is to secure a workable access arrangement now, manage the move from the current informal arrangement to a formal district process, and discuss counselling separately—without letting it be treated as the answer to transport.</w:t>
            </w:r>
          </w:p>
        </w:tc>
      </w:tr>
    </w:tbl>
    <w:p>
      <w:pPr>
        <w:spacing w:after="20" w:before="0" w:line="245" w:lineRule="auto"/>
      </w:pPr>
      <w:r>
        <w:rPr>
          <w:rFonts w:ascii="Aptos" w:hAnsi="Aptos"/>
          <w:b/>
          <w:color w:val="0E6B6F"/>
          <w:sz w:val="14"/>
        </w:rPr>
        <w:t>MEETING SEQUENCE</w:t>
      </w:r>
    </w:p>
    <w:p>
      <w:pPr>
        <w:keepNext/>
        <w:spacing w:after="60" w:before="0" w:line="245" w:lineRule="auto"/>
      </w:pPr>
      <w:r>
        <w:rPr>
          <w:rFonts w:ascii="Aptos" w:hAnsi="Aptos"/>
          <w:b/>
          <w:color w:val="173B57"/>
          <w:sz w:val="20"/>
        </w:rPr>
        <w:t>Use this order in the meeting</w:t>
      </w:r>
    </w:p>
    <w:tbl>
      <w:tblPr>
        <w:tblW w:type="auto" w:w="0"/>
        <w:tblLayout w:type="fixed"/>
        <w:tblLook w:firstColumn="1" w:firstRow="1" w:lastColumn="0" w:lastRow="0" w:noHBand="0" w:noVBand="1" w:val="04A0"/>
      </w:tblPr>
      <w:tblGrid>
        <w:gridCol w:w="562"/>
        <w:gridCol w:w="10080"/>
      </w:tblGrid>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0E6B6F"/>
            <w:vAlign w:val="center"/>
          </w:tcPr>
          <w:p>
            <w:pPr>
              <w:spacing w:after="0" w:before="0" w:line="247" w:lineRule="auto"/>
            </w:pPr>
            <w:r>
              <w:rPr>
                <w:rFonts w:ascii="Aptos" w:hAnsi="Aptos"/>
                <w:b/>
                <w:color w:val="FFFFFF"/>
                <w:sz w:val="20"/>
              </w:rPr>
              <w:t>1</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color w:val="173B57"/>
                <w:sz w:val="16"/>
              </w:rPr>
              <w:t xml:space="preserve">Open with access and participation — </w:t>
            </w:r>
            <w:r>
              <w:rPr>
                <w:rFonts w:ascii="Aptos" w:hAnsi="Aptos"/>
                <w:color w:val="1E2933"/>
                <w:sz w:val="16"/>
              </w:rPr>
              <w:t>Say: “The starting point is whether the student can get to and from school. Transport is an access condition, not a preference or a service detail to exchange away.” State the offered counselling and no transport only after this point is clear.</w:t>
            </w:r>
          </w:p>
        </w:tc>
      </w:tr>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0E6B6F"/>
            <w:vAlign w:val="center"/>
          </w:tcPr>
          <w:p>
            <w:pPr>
              <w:spacing w:after="0" w:before="0" w:line="247" w:lineRule="auto"/>
            </w:pPr>
            <w:r>
              <w:rPr>
                <w:rFonts w:ascii="Aptos" w:hAnsi="Aptos"/>
                <w:b/>
                <w:color w:val="FFFFFF"/>
                <w:sz w:val="20"/>
              </w:rPr>
              <w:t>2</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color w:val="173B57"/>
                <w:sz w:val="16"/>
              </w:rPr>
              <w:t xml:space="preserve">Separate the two issues — </w:t>
            </w:r>
            <w:r>
              <w:rPr>
                <w:rFonts w:ascii="Aptos" w:hAnsi="Aptos"/>
                <w:color w:val="1E2933"/>
                <w:sz w:val="16"/>
              </w:rPr>
              <w:t>Say: “Counselling may be useful support, but it does not get the student to school. Please record transport and counselling as separate decisions.” If staff use ‘the counselling offer’ as shorthand, stop and restate this distinction.</w:t>
            </w:r>
          </w:p>
        </w:tc>
      </w:tr>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DDECEE"/>
            <w:vAlign w:val="center"/>
          </w:tcPr>
          <w:p>
            <w:pPr>
              <w:spacing w:after="0" w:before="0" w:line="247" w:lineRule="auto"/>
            </w:pPr>
            <w:r>
              <w:rPr>
                <w:rFonts w:ascii="Aptos" w:hAnsi="Aptos"/>
                <w:b/>
                <w:color w:val="0E6B6F"/>
                <w:sz w:val="20"/>
              </w:rPr>
              <w:t>3</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color w:val="173B57"/>
                <w:sz w:val="16"/>
              </w:rPr>
              <w:t xml:space="preserve">Seek an immediate, workable arrangement — </w:t>
            </w:r>
            <w:r>
              <w:rPr>
                <w:rFonts w:ascii="Aptos" w:hAnsi="Aptos"/>
                <w:color w:val="1E2933"/>
                <w:sz w:val="16"/>
              </w:rPr>
              <w:t>Ask what arrangement will actually cover travel to and from school while the formal process is being put in place. Do not move to counselling details until the access gap, responsible person, and a review point are understood.</w:t>
            </w:r>
          </w:p>
        </w:tc>
      </w:tr>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DDECEE"/>
            <w:vAlign w:val="center"/>
          </w:tcPr>
          <w:p>
            <w:pPr>
              <w:spacing w:after="0" w:before="0" w:line="247" w:lineRule="auto"/>
            </w:pPr>
            <w:r>
              <w:rPr>
                <w:rFonts w:ascii="Aptos" w:hAnsi="Aptos"/>
                <w:b/>
                <w:color w:val="0E6B6F"/>
                <w:sz w:val="20"/>
              </w:rPr>
              <w:t>4</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color w:val="173B57"/>
                <w:sz w:val="16"/>
              </w:rPr>
              <w:t xml:space="preserve">Set the transition and end state — </w:t>
            </w:r>
            <w:r>
              <w:rPr>
                <w:rFonts w:ascii="Aptos" w:hAnsi="Aptos"/>
                <w:color w:val="1E2933"/>
                <w:sz w:val="16"/>
              </w:rPr>
              <w:t>Name that the current informal arrangement is being replaced by a formal district process. Ask for an interim arrangement until that process is operating, then a clear formal arrangement as the intended end state.</w:t>
            </w:r>
          </w:p>
        </w:tc>
      </w:tr>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DDECEE"/>
            <w:vAlign w:val="center"/>
          </w:tcPr>
          <w:p>
            <w:pPr>
              <w:spacing w:after="0" w:before="0" w:line="247" w:lineRule="auto"/>
            </w:pPr>
            <w:r>
              <w:rPr>
                <w:rFonts w:ascii="Aptos" w:hAnsi="Aptos"/>
                <w:b/>
                <w:color w:val="0E6B6F"/>
                <w:sz w:val="20"/>
              </w:rPr>
              <w:t>5</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color w:val="173B57"/>
                <w:sz w:val="16"/>
              </w:rPr>
              <w:t xml:space="preserve">Discuss counselling, then close the record — </w:t>
            </w:r>
            <w:r>
              <w:rPr>
                <w:rFonts w:ascii="Aptos" w:hAnsi="Aptos"/>
                <w:color w:val="1E2933"/>
                <w:sz w:val="16"/>
              </w:rPr>
              <w:t>Ask whether the offered 30 minutes each week and its school-based format meet the identified support need; do not assume they do. Confirm what was agreed, declined, or deferred, the owner, and the condition or timing for return.</w:t>
            </w:r>
          </w:p>
        </w:tc>
      </w:tr>
    </w:tbl>
    <w:p>
      <w:pPr>
        <w:spacing w:after="20" w:before="0" w:line="245" w:lineRule="auto"/>
      </w:pPr>
      <w:r>
        <w:rPr>
          <w:rFonts w:ascii="Aptos" w:hAnsi="Aptos"/>
          <w:b/>
          <w:color w:val="0E6B6F"/>
          <w:sz w:val="14"/>
        </w:rPr>
        <w:t>WHAT TO SEEK</w:t>
      </w:r>
    </w:p>
    <w:p>
      <w:pPr>
        <w:keepNext/>
        <w:spacing w:after="60" w:before="0" w:line="245" w:lineRule="auto"/>
      </w:pPr>
      <w:r>
        <w:rPr>
          <w:rFonts w:ascii="Aptos" w:hAnsi="Aptos"/>
          <w:b/>
          <w:color w:val="173B57"/>
          <w:sz w:val="20"/>
        </w:rPr>
        <w:t>Three timeframes—keep them distinct</w:t>
      </w:r>
    </w:p>
    <w:tbl>
      <w:tblPr>
        <w:tblW w:type="auto" w:w="0"/>
        <w:tblLayout w:type="fixed"/>
        <w:tblLook w:firstColumn="1" w:firstRow="1" w:lastColumn="0" w:lastRow="0" w:noHBand="0" w:noVBand="1" w:val="04A0"/>
      </w:tblPr>
      <w:tblGrid>
        <w:gridCol w:w="3619"/>
        <w:gridCol w:w="3619"/>
        <w:gridCol w:w="3619"/>
      </w:tblGrid>
      <w:tr>
        <w:tc>
          <w:tcPr>
            <w:tcW w:type="dxa" w:w="3619"/>
            <w:shd w:fill="173B57"/>
            <w:tcBorders>
              <w:top w:val="single" w:sz="6" w:color="173B57"/>
              <w:left w:val="single" w:sz="6" w:color="173B57"/>
              <w:bottom w:val="single" w:sz="6" w:color="173B57"/>
              <w:right w:val="single" w:sz="6" w:color="173B57"/>
            </w:tcBorders>
            <w:tcMar>
              <w:top w:w="60" w:type="dxa"/>
              <w:start w:w="90" w:type="dxa"/>
              <w:bottom w:w="55" w:type="dxa"/>
              <w:end w:w="90" w:type="dxa"/>
            </w:tcMar>
          </w:tcPr>
          <w:p>
            <w:pPr>
              <w:spacing w:after="0" w:before="0" w:line="247" w:lineRule="auto"/>
            </w:pPr>
            <w:r>
              <w:rPr>
                <w:rFonts w:ascii="Aptos" w:hAnsi="Aptos"/>
                <w:b/>
                <w:color w:val="FFFFFF"/>
                <w:sz w:val="14"/>
              </w:rPr>
              <w:t>IMMEDIATE</w:t>
            </w:r>
          </w:p>
        </w:tc>
        <w:tc>
          <w:tcPr>
            <w:tcW w:type="dxa" w:w="3619"/>
            <w:shd w:fill="173B57"/>
            <w:tcBorders>
              <w:top w:val="single" w:sz="6" w:color="173B57"/>
              <w:left w:val="single" w:sz="6" w:color="173B57"/>
              <w:bottom w:val="single" w:sz="6" w:color="173B57"/>
              <w:right w:val="single" w:sz="6" w:color="173B57"/>
            </w:tcBorders>
            <w:tcMar>
              <w:top w:w="60" w:type="dxa"/>
              <w:start w:w="90" w:type="dxa"/>
              <w:bottom w:w="55" w:type="dxa"/>
              <w:end w:w="90" w:type="dxa"/>
            </w:tcMar>
          </w:tcPr>
          <w:p>
            <w:pPr>
              <w:spacing w:after="0" w:before="0" w:line="247" w:lineRule="auto"/>
            </w:pPr>
            <w:r>
              <w:rPr>
                <w:rFonts w:ascii="Aptos" w:hAnsi="Aptos"/>
                <w:b/>
                <w:color w:val="FFFFFF"/>
                <w:sz w:val="14"/>
              </w:rPr>
              <w:t>TRANSITION PERIOD</w:t>
            </w:r>
          </w:p>
        </w:tc>
        <w:tc>
          <w:tcPr>
            <w:tcW w:type="dxa" w:w="3619"/>
            <w:shd w:fill="173B57"/>
            <w:tcBorders>
              <w:top w:val="single" w:sz="6" w:color="173B57"/>
              <w:left w:val="single" w:sz="6" w:color="173B57"/>
              <w:bottom w:val="single" w:sz="6" w:color="173B57"/>
              <w:right w:val="single" w:sz="6" w:color="173B57"/>
            </w:tcBorders>
            <w:tcMar>
              <w:top w:w="60" w:type="dxa"/>
              <w:start w:w="90" w:type="dxa"/>
              <w:bottom w:w="55" w:type="dxa"/>
              <w:end w:w="90" w:type="dxa"/>
            </w:tcMar>
          </w:tcPr>
          <w:p>
            <w:pPr>
              <w:spacing w:after="0" w:before="0" w:line="247" w:lineRule="auto"/>
            </w:pPr>
            <w:r>
              <w:rPr>
                <w:rFonts w:ascii="Aptos" w:hAnsi="Aptos"/>
                <w:b/>
                <w:color w:val="FFFFFF"/>
                <w:sz w:val="14"/>
              </w:rPr>
              <w:t>INTENDED END STATE</w:t>
            </w:r>
          </w:p>
        </w:tc>
      </w:tr>
      <w:tr>
        <w:tc>
          <w:tcPr>
            <w:tcW w:type="dxa" w:w="3619"/>
            <w:shd w:fill="F4F7F8"/>
            <w:tcBorders>
              <w:top w:val="single" w:sz="6" w:color="CED9DE"/>
              <w:left w:val="single" w:sz="6" w:color="CED9DE"/>
              <w:bottom w:val="single" w:sz="6" w:color="CED9DE"/>
              <w:right w:val="single" w:sz="6" w:color="CED9DE"/>
            </w:tcBorders>
            <w:tcMar>
              <w:top w:w="70" w:type="dxa"/>
              <w:start w:w="90" w:type="dxa"/>
              <w:bottom w:w="70" w:type="dxa"/>
              <w:end w:w="90" w:type="dxa"/>
            </w:tcMar>
          </w:tcPr>
          <w:p>
            <w:pPr>
              <w:spacing w:after="0" w:before="0" w:line="247" w:lineRule="auto"/>
            </w:pPr>
            <w:r>
              <w:rPr>
                <w:rFonts w:ascii="Aptos" w:hAnsi="Aptos"/>
                <w:b w:val="0"/>
                <w:color w:val="1E2933"/>
                <w:sz w:val="15"/>
              </w:rPr>
              <w:t>A travel arrangement that is workable from the point it begins. Record who confirms it, the travel details, what happens if it fails, and when the family can say it is not workable.</w:t>
            </w:r>
          </w:p>
        </w:tc>
        <w:tc>
          <w:tcPr>
            <w:tcW w:type="dxa" w:w="3619"/>
            <w:shd w:fill="F4F7F8"/>
            <w:tcBorders>
              <w:top w:val="single" w:sz="6" w:color="CED9DE"/>
              <w:left w:val="single" w:sz="6" w:color="CED9DE"/>
              <w:bottom w:val="single" w:sz="6" w:color="CED9DE"/>
              <w:right w:val="single" w:sz="6" w:color="CED9DE"/>
            </w:tcBorders>
            <w:tcMar>
              <w:top w:w="70" w:type="dxa"/>
              <w:start w:w="90" w:type="dxa"/>
              <w:bottom w:w="70" w:type="dxa"/>
              <w:end w:w="90" w:type="dxa"/>
            </w:tcMar>
          </w:tcPr>
          <w:p>
            <w:pPr>
              <w:spacing w:after="0" w:before="0" w:line="247" w:lineRule="auto"/>
            </w:pPr>
            <w:r>
              <w:rPr>
                <w:rFonts w:ascii="Aptos" w:hAnsi="Aptos"/>
                <w:b w:val="0"/>
                <w:color w:val="1E2933"/>
                <w:sz w:val="15"/>
              </w:rPr>
              <w:t>The current informal arrangement is not the end state. Keep a workable interim arrangement in place while the formal district process is being put in place; set a review trigger rather than an assumed date.</w:t>
            </w:r>
          </w:p>
        </w:tc>
        <w:tc>
          <w:tcPr>
            <w:tcW w:type="dxa" w:w="3619"/>
            <w:shd w:fill="F4F7F8"/>
            <w:tcBorders>
              <w:top w:val="single" w:sz="6" w:color="CED9DE"/>
              <w:left w:val="single" w:sz="6" w:color="CED9DE"/>
              <w:bottom w:val="single" w:sz="6" w:color="CED9DE"/>
              <w:right w:val="single" w:sz="6" w:color="CED9DE"/>
            </w:tcBorders>
            <w:tcMar>
              <w:top w:w="70" w:type="dxa"/>
              <w:start w:w="90" w:type="dxa"/>
              <w:bottom w:w="70" w:type="dxa"/>
              <w:end w:w="90" w:type="dxa"/>
            </w:tcMar>
          </w:tcPr>
          <w:p>
            <w:pPr>
              <w:spacing w:after="0" w:before="0" w:line="247" w:lineRule="auto"/>
            </w:pPr>
            <w:r>
              <w:rPr>
                <w:rFonts w:ascii="Aptos" w:hAnsi="Aptos"/>
                <w:b w:val="0"/>
                <w:color w:val="1E2933"/>
                <w:sz w:val="15"/>
              </w:rPr>
              <w:t>A formal district arrangement that provides dependable access to and from school. Counselling is considered on its own merits after access is protected.</w:t>
            </w:r>
          </w:p>
        </w:tc>
      </w:tr>
    </w:tbl>
    <w:p>
      <w:pPr>
        <w:spacing w:after="20" w:before="0" w:line="245" w:lineRule="auto"/>
      </w:pPr>
      <w:r>
        <w:rPr>
          <w:rFonts w:ascii="Aptos" w:hAnsi="Aptos"/>
          <w:b/>
          <w:color w:val="0E6B6F"/>
          <w:sz w:val="14"/>
        </w:rPr>
        <w:t>PROTECT AND TRADE</w:t>
      </w:r>
    </w:p>
    <w:p>
      <w:pPr>
        <w:keepNext/>
        <w:spacing w:after="60" w:before="0" w:line="245" w:lineRule="auto"/>
      </w:pPr>
      <w:r>
        <w:rPr>
          <w:rFonts w:ascii="Aptos" w:hAnsi="Aptos"/>
          <w:b/>
          <w:color w:val="173B57"/>
          <w:sz w:val="20"/>
        </w:rPr>
        <w:t>Boundaries before offers are discussed</w:t>
      </w:r>
    </w:p>
    <w:tbl>
      <w:tblPr>
        <w:tblW w:type="auto" w:w="0"/>
        <w:tblLayout w:type="fixed"/>
        <w:tblLook w:firstColumn="1" w:firstRow="1" w:lastColumn="0" w:lastRow="0" w:noHBand="0" w:noVBand="1" w:val="04A0"/>
      </w:tblPr>
      <w:tblGrid>
        <w:gridCol w:w="5429"/>
        <w:gridCol w:w="5429"/>
      </w:tblGrid>
      <w:tr>
        <w:tc>
          <w:tcPr>
            <w:tcW w:type="dxa" w:w="5429"/>
            <w:tcMar>
              <w:top w:w="75" w:type="dxa"/>
              <w:start w:w="100" w:type="dxa"/>
              <w:bottom w:w="65" w:type="dxa"/>
              <w:end w:w="100" w:type="dxa"/>
            </w:tcMar>
            <w:tcBorders>
              <w:top w:val="single" w:sz="6" w:color="CED9DE"/>
              <w:left w:val="single" w:sz="6" w:color="CED9DE"/>
              <w:bottom w:val="single" w:sz="6" w:color="CED9DE"/>
              <w:right w:val="single" w:sz="6" w:color="CED9DE"/>
            </w:tcBorders>
            <w:shd w:fill="FFF4D9"/>
          </w:tcPr>
          <w:p>
            <w:pPr>
              <w:spacing w:after="20" w:before="0" w:line="247" w:lineRule="auto"/>
            </w:pPr>
            <w:r>
              <w:rPr>
                <w:rFonts w:ascii="Aptos" w:hAnsi="Aptos"/>
                <w:b/>
                <w:color w:val="173B57"/>
                <w:sz w:val="15"/>
              </w:rPr>
              <w:t>PROTECTED — do not trade away</w:t>
            </w:r>
          </w:p>
          <w:p>
            <w:pPr>
              <w:spacing w:after="20" w:line="240" w:lineRule="auto"/>
              <w:ind w:left="115" w:hanging="115"/>
            </w:pPr>
            <w:r>
              <w:rPr>
                <w:color w:val="0E6B6F"/>
                <w:sz w:val="16"/>
              </w:rPr>
              <w:t xml:space="preserve">• </w:t>
            </w:r>
            <w:r>
              <w:rPr>
                <w:rFonts w:ascii="Aptos" w:hAnsi="Aptos"/>
                <w:b/>
                <w:sz w:val="16"/>
              </w:rPr>
              <w:t xml:space="preserve">Transport: </w:t>
            </w:r>
            <w:r>
              <w:rPr>
                <w:rFonts w:ascii="Aptos" w:hAnsi="Aptos"/>
                <w:color w:val="1E2933"/>
                <w:sz w:val="16"/>
              </w:rPr>
              <w:t>Travel to and from school is essential access. Do not accept counselling, a future process, or an administrative contact as a complete resolution without a workable travel arrangement.</w:t>
            </w:r>
          </w:p>
          <w:p>
            <w:pPr>
              <w:spacing w:after="20" w:line="240" w:lineRule="auto"/>
              <w:ind w:left="115" w:hanging="115"/>
            </w:pPr>
            <w:r>
              <w:rPr>
                <w:color w:val="0E6B6F"/>
                <w:sz w:val="16"/>
              </w:rPr>
              <w:t xml:space="preserve">• </w:t>
            </w:r>
            <w:r>
              <w:rPr>
                <w:rFonts w:ascii="Aptos" w:hAnsi="Aptos"/>
                <w:b/>
                <w:sz w:val="16"/>
              </w:rPr>
              <w:t xml:space="preserve">Plain record: </w:t>
            </w:r>
            <w:r>
              <w:rPr>
                <w:rFonts w:ascii="Aptos" w:hAnsi="Aptos"/>
                <w:color w:val="1E2933"/>
                <w:sz w:val="16"/>
              </w:rPr>
              <w:t>Keep “transport” and “counselling” as separate lines in the notes; correct any summary that combines them.</w:t>
            </w:r>
          </w:p>
        </w:tc>
        <w:tc>
          <w:tcPr>
            <w:tcW w:type="dxa" w:w="5429"/>
            <w:tcMar>
              <w:top w:w="75" w:type="dxa"/>
              <w:start w:w="100" w:type="dxa"/>
              <w:bottom w:w="65" w:type="dxa"/>
              <w:end w:w="100" w:type="dxa"/>
            </w:tcMar>
            <w:tcBorders>
              <w:top w:val="single" w:sz="6" w:color="CED9DE"/>
              <w:left w:val="single" w:sz="6" w:color="CED9DE"/>
              <w:bottom w:val="single" w:sz="6" w:color="CED9DE"/>
              <w:right w:val="single" w:sz="6" w:color="CED9DE"/>
            </w:tcBorders>
            <w:shd w:fill="EDF6F1"/>
          </w:tcPr>
          <w:p>
            <w:pPr>
              <w:spacing w:after="20" w:before="0" w:line="247" w:lineRule="auto"/>
            </w:pPr>
            <w:r>
              <w:rPr>
                <w:rFonts w:ascii="Aptos" w:hAnsi="Aptos"/>
                <w:b/>
                <w:color w:val="173B57"/>
                <w:sz w:val="15"/>
              </w:rPr>
              <w:t>OPEN TO DISCUSSION — only after access</w:t>
            </w:r>
          </w:p>
          <w:p>
            <w:pPr>
              <w:spacing w:after="20" w:line="240" w:lineRule="auto"/>
              <w:ind w:left="115" w:hanging="115"/>
            </w:pPr>
            <w:r>
              <w:rPr>
                <w:color w:val="0E6B6F"/>
                <w:sz w:val="16"/>
              </w:rPr>
              <w:t xml:space="preserve">• </w:t>
            </w:r>
            <w:r>
              <w:rPr>
                <w:rFonts w:ascii="Aptos" w:hAnsi="Aptos"/>
                <w:b/>
                <w:sz w:val="16"/>
              </w:rPr>
              <w:t xml:space="preserve">Counselling: </w:t>
            </w:r>
            <w:r>
              <w:rPr>
                <w:rFonts w:ascii="Aptos" w:hAnsi="Aptos"/>
                <w:color w:val="1E2933"/>
                <w:sz w:val="16"/>
              </w:rPr>
              <w:t>Discuss frequency and school-based format separately. A counselling-related counteroffer can be considered only if transport is protected and the offer is clear enough to assess against the support need.</w:t>
            </w:r>
          </w:p>
          <w:p>
            <w:pPr>
              <w:spacing w:after="20" w:line="240" w:lineRule="auto"/>
              <w:ind w:left="115" w:hanging="115"/>
            </w:pPr>
            <w:r>
              <w:rPr>
                <w:color w:val="0E6B6F"/>
                <w:sz w:val="16"/>
              </w:rPr>
              <w:t xml:space="preserve">• </w:t>
            </w:r>
            <w:r>
              <w:rPr>
                <w:rFonts w:ascii="Aptos" w:hAnsi="Aptos"/>
                <w:b/>
                <w:sz w:val="16"/>
              </w:rPr>
              <w:t xml:space="preserve">Useful adjustment: </w:t>
            </w:r>
            <w:r>
              <w:rPr>
                <w:rFonts w:ascii="Aptos" w:hAnsi="Aptos"/>
                <w:color w:val="1E2933"/>
                <w:sz w:val="16"/>
              </w:rPr>
              <w:t>A named coordinator, clear handoff, or written confirmation is acceptable as part of a workable arrangement; it is not enough if the core travel problem remains unresolved.</w:t>
            </w:r>
          </w:p>
        </w:tc>
      </w:tr>
    </w:tbl>
    <w:p>
      <w:r>
        <w:br w:type="page"/>
      </w:r>
    </w:p>
    <w:p>
      <w:pPr>
        <w:spacing w:after="20" w:before="0" w:line="245" w:lineRule="auto"/>
      </w:pPr>
      <w:r>
        <w:rPr>
          <w:rFonts w:ascii="Aptos" w:hAnsi="Aptos"/>
          <w:b/>
          <w:color w:val="0E6B6F"/>
          <w:sz w:val="14"/>
        </w:rPr>
        <w:t>SAY THIS</w:t>
      </w:r>
    </w:p>
    <w:p>
      <w:pPr>
        <w:keepNext/>
        <w:spacing w:after="60" w:before="0" w:line="245" w:lineRule="auto"/>
      </w:pPr>
      <w:r>
        <w:rPr>
          <w:rFonts w:ascii="Aptos" w:hAnsi="Aptos"/>
          <w:b/>
          <w:color w:val="173B57"/>
          <w:sz w:val="20"/>
        </w:rPr>
        <w:t>Likely director counters and calm responses</w:t>
      </w:r>
    </w:p>
    <w:tbl>
      <w:tblPr>
        <w:tblW w:type="auto" w:w="0"/>
        <w:tblLayout w:type="fixed"/>
        <w:tblLook w:firstColumn="1" w:firstRow="1" w:lastColumn="0" w:lastRow="0" w:noHBand="0" w:noVBand="1" w:val="04A0"/>
      </w:tblPr>
      <w:tblGrid>
        <w:gridCol w:w="5429"/>
        <w:gridCol w:w="5429"/>
      </w:tblGrid>
      <w:tr>
        <w:trPr>
          <w:tblHeader w:val="true"/>
        </w:trPr>
        <w:tc>
          <w:tcPr>
            <w:tcW w:type="dxa" w:w="5429"/>
            <w:shd w:fill="173B57"/>
            <w:tcBorders>
              <w:top w:val="single" w:sz="6" w:color="173B57"/>
              <w:left w:val="single" w:sz="6" w:color="173B57"/>
              <w:bottom w:val="single" w:sz="6" w:color="173B57"/>
              <w:right w:val="single" w:sz="6" w:color="173B57"/>
            </w:tcBorders>
            <w:tcMar>
              <w:top w:w="55" w:type="dxa"/>
              <w:start w:w="90" w:type="dxa"/>
              <w:bottom w:w="50" w:type="dxa"/>
              <w:end w:w="90" w:type="dxa"/>
            </w:tcMar>
          </w:tcPr>
          <w:p>
            <w:pPr>
              <w:spacing w:after="0" w:before="0" w:line="247" w:lineRule="auto"/>
            </w:pPr>
            <w:r>
              <w:rPr>
                <w:rFonts w:ascii="Aptos" w:hAnsi="Aptos"/>
                <w:b/>
                <w:color w:val="FFFFFF"/>
                <w:sz w:val="14"/>
              </w:rPr>
              <w:t>IF THE DIRECTOR SAYS…</w:t>
            </w:r>
          </w:p>
        </w:tc>
        <w:tc>
          <w:tcPr>
            <w:tcW w:type="dxa" w:w="5429"/>
            <w:shd w:fill="173B57"/>
            <w:tcBorders>
              <w:top w:val="single" w:sz="6" w:color="173B57"/>
              <w:left w:val="single" w:sz="6" w:color="173B57"/>
              <w:bottom w:val="single" w:sz="6" w:color="173B57"/>
              <w:right w:val="single" w:sz="6" w:color="173B57"/>
            </w:tcBorders>
            <w:tcMar>
              <w:top w:w="55" w:type="dxa"/>
              <w:start w:w="90" w:type="dxa"/>
              <w:bottom w:w="50" w:type="dxa"/>
              <w:end w:w="90" w:type="dxa"/>
            </w:tcMar>
          </w:tcPr>
          <w:p>
            <w:pPr>
              <w:spacing w:after="0" w:before="0" w:line="247" w:lineRule="auto"/>
            </w:pPr>
            <w:r>
              <w:rPr>
                <w:rFonts w:ascii="Aptos" w:hAnsi="Aptos"/>
                <w:b/>
                <w:color w:val="FFFFFF"/>
                <w:sz w:val="14"/>
              </w:rPr>
              <w:t>RESPOND…</w:t>
            </w:r>
          </w:p>
        </w:tc>
      </w:tr>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F4F7F8"/>
          </w:tcPr>
          <w:p>
            <w:pPr>
              <w:spacing w:after="0" w:before="0" w:line="247" w:lineRule="auto"/>
            </w:pPr>
            <w:r>
              <w:rPr>
                <w:rFonts w:ascii="Aptos" w:hAnsi="Aptos"/>
                <w:b/>
                <w:color w:val="173B57"/>
                <w:sz w:val="15"/>
              </w:rPr>
              <w:t>“We can offer counselling,” but does not address transport.</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5"/>
              </w:rPr>
              <w:t>“Thank you. Please record counselling as a separate support. We still need to decide how the student will get to and from school; without that access, the offer does not resolve the family’s immediate concern.”</w:t>
            </w:r>
          </w:p>
        </w:tc>
      </w:tr>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F4F7F8"/>
          </w:tcPr>
          <w:p>
            <w:pPr>
              <w:spacing w:after="0" w:before="0" w:line="247" w:lineRule="auto"/>
            </w:pPr>
            <w:r>
              <w:rPr>
                <w:rFonts w:ascii="Aptos" w:hAnsi="Aptos"/>
                <w:b/>
                <w:color w:val="173B57"/>
                <w:sz w:val="15"/>
              </w:rPr>
              <w:t>“Transport is optional/secondary,” or asks the family to set it aside.</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5"/>
              </w:rPr>
              <w:t>“For this family, travel is the condition for school access and participation. It is not secondary. Let us first identify a workable transport arrangement, then return to the counselling discussion.”</w:t>
            </w:r>
          </w:p>
        </w:tc>
      </w:tr>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F4F7F8"/>
          </w:tcPr>
          <w:p>
            <w:pPr>
              <w:spacing w:after="0" w:before="0" w:line="247" w:lineRule="auto"/>
            </w:pPr>
            <w:r>
              <w:rPr>
                <w:rFonts w:ascii="Aptos" w:hAnsi="Aptos"/>
                <w:b/>
                <w:color w:val="173B57"/>
                <w:sz w:val="15"/>
              </w:rPr>
              <w:t>“Wait until the formal district process is complete.”</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5"/>
              </w:rPr>
              <w:t>“We understand the formal process is being introduced. The student and family still need a workable interim arrangement before it is in place. Who can own that arrangement, and what review trigger will show whether it is working?”</w:t>
            </w:r>
          </w:p>
        </w:tc>
      </w:tr>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F4F7F8"/>
          </w:tcPr>
          <w:p>
            <w:pPr>
              <w:spacing w:after="0" w:before="0" w:line="247" w:lineRule="auto"/>
            </w:pPr>
            <w:r>
              <w:rPr>
                <w:rFonts w:ascii="Aptos" w:hAnsi="Aptos"/>
                <w:b/>
                <w:color w:val="173B57"/>
                <w:sz w:val="15"/>
              </w:rPr>
              <w:t>“The only offer is 30 minutes of school-based counselling each week.”</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5"/>
              </w:rPr>
              <w:t>“We note the current offer. We are not asking counselling to replace transport. Once access is protected, we need to discuss whether that frequency and format meet the support need, and what information would help us assess it.”</w:t>
            </w:r>
          </w:p>
        </w:tc>
      </w:tr>
      <w:tr>
        <w:trPr>
          <w:cantSplit/>
        </w:trPr>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shd w:fill="F4F7F8"/>
          </w:tcPr>
          <w:p>
            <w:pPr>
              <w:spacing w:after="0" w:before="0" w:line="247" w:lineRule="auto"/>
            </w:pPr>
            <w:r>
              <w:rPr>
                <w:rFonts w:ascii="Aptos" w:hAnsi="Aptos"/>
                <w:b/>
                <w:color w:val="173B57"/>
                <w:sz w:val="15"/>
              </w:rPr>
              <w:t>“We can name a contact or send an update instead.”</w:t>
            </w:r>
          </w:p>
        </w:tc>
        <w:tc>
          <w:tcPr>
            <w:tcW w:type="dxa" w:w="5429"/>
            <w:tcMar>
              <w:top w:w="55" w:type="dxa"/>
              <w:start w:w="85" w:type="dxa"/>
              <w:bottom w:w="50" w:type="dxa"/>
              <w:end w:w="8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5"/>
              </w:rPr>
              <w:t>“A named contact and written confirmation would help reduce confusion. Please pair them with a travel arrangement that works in practice; contact alone does not get the student to and from school.”</w:t>
            </w:r>
          </w:p>
        </w:tc>
      </w:tr>
    </w:tbl>
    <w:p>
      <w:pPr>
        <w:spacing w:after="20" w:before="0" w:line="245" w:lineRule="auto"/>
      </w:pPr>
      <w:r>
        <w:rPr>
          <w:rFonts w:ascii="Aptos" w:hAnsi="Aptos"/>
          <w:b/>
          <w:color w:val="0E6B6F"/>
          <w:sz w:val="14"/>
        </w:rPr>
        <w:t>CHECKS</w:t>
      </w:r>
    </w:p>
    <w:p>
      <w:pPr>
        <w:keepNext/>
        <w:spacing w:after="60" w:before="0" w:line="245" w:lineRule="auto"/>
      </w:pPr>
      <w:r>
        <w:rPr>
          <w:rFonts w:ascii="Aptos" w:hAnsi="Aptos"/>
          <w:b/>
          <w:color w:val="173B57"/>
          <w:sz w:val="20"/>
        </w:rPr>
        <w:t>Before accepting any arrangement</w:t>
      </w:r>
    </w:p>
    <w:tbl>
      <w:tblPr>
        <w:tblW w:type="auto" w:w="0"/>
        <w:tblLayout w:type="fixed"/>
        <w:tblLook w:firstColumn="1" w:firstRow="1" w:lastColumn="0" w:lastRow="0" w:noHBand="0" w:noVBand="1" w:val="04A0"/>
      </w:tblPr>
      <w:tblGrid>
        <w:gridCol w:w="5429"/>
        <w:gridCol w:w="5429"/>
      </w:tblGrid>
      <w:tr>
        <w:tc>
          <w:tcPr>
            <w:tcW w:type="dxa" w:w="5429"/>
            <w:tcMar>
              <w:top w:w="65" w:type="dxa"/>
              <w:start w:w="95" w:type="dxa"/>
              <w:bottom w:w="55" w:type="dxa"/>
              <w:end w:w="95" w:type="dxa"/>
            </w:tcMar>
            <w:tcBorders>
              <w:top w:val="single" w:sz="6" w:color="CED9DE"/>
              <w:left w:val="single" w:sz="6" w:color="CED9DE"/>
              <w:bottom w:val="single" w:sz="6" w:color="CED9DE"/>
              <w:right w:val="single" w:sz="6" w:color="CED9DE"/>
            </w:tcBorders>
            <w:shd w:fill="EAF3F4"/>
          </w:tcPr>
          <w:p>
            <w:pPr>
              <w:spacing w:after="20" w:before="0" w:line="247" w:lineRule="auto"/>
            </w:pPr>
            <w:r>
              <w:rPr>
                <w:rFonts w:ascii="Aptos" w:hAnsi="Aptos"/>
                <w:b/>
                <w:color w:val="0E6B6F"/>
                <w:sz w:val="15"/>
              </w:rPr>
              <w:t>ASK FOR CLARITY</w:t>
            </w:r>
          </w:p>
          <w:p>
            <w:pPr>
              <w:spacing w:after="20" w:line="240" w:lineRule="auto"/>
              <w:ind w:left="115" w:hanging="115"/>
            </w:pPr>
            <w:r>
              <w:rPr>
                <w:color w:val="0E6B6F"/>
                <w:sz w:val="16"/>
              </w:rPr>
              <w:t xml:space="preserve">• </w:t>
            </w:r>
            <w:r>
              <w:rPr>
                <w:rFonts w:ascii="Aptos" w:hAnsi="Aptos"/>
                <w:b/>
                <w:sz w:val="16"/>
              </w:rPr>
              <w:t xml:space="preserve">Transport: </w:t>
            </w:r>
            <w:r>
              <w:rPr>
                <w:rFonts w:ascii="Aptos" w:hAnsi="Aptos"/>
                <w:color w:val="1E2933"/>
                <w:sz w:val="16"/>
              </w:rPr>
              <w:t>What travel is covered; when it starts; who confirms it; who the family contacts if it does not work; and the review trigger.</w:t>
            </w:r>
          </w:p>
          <w:p>
            <w:pPr>
              <w:spacing w:after="20" w:line="240" w:lineRule="auto"/>
              <w:ind w:left="115" w:hanging="115"/>
            </w:pPr>
            <w:r>
              <w:rPr>
                <w:color w:val="0E6B6F"/>
                <w:sz w:val="16"/>
              </w:rPr>
              <w:t xml:space="preserve">• </w:t>
            </w:r>
            <w:r>
              <w:rPr>
                <w:rFonts w:ascii="Aptos" w:hAnsi="Aptos"/>
                <w:b/>
                <w:sz w:val="16"/>
              </w:rPr>
              <w:t xml:space="preserve">Counselling: </w:t>
            </w:r>
            <w:r>
              <w:rPr>
                <w:rFonts w:ascii="Aptos" w:hAnsi="Aptos"/>
                <w:color w:val="1E2933"/>
                <w:sz w:val="16"/>
              </w:rPr>
              <w:t>What the offered 30 minutes each week and school-based format mean in practice, and what information the group will use to decide whether it meets the support need.</w:t>
            </w:r>
          </w:p>
        </w:tc>
        <w:tc>
          <w:tcPr>
            <w:tcW w:type="dxa" w:w="5429"/>
            <w:tcMar>
              <w:top w:w="65" w:type="dxa"/>
              <w:start w:w="95" w:type="dxa"/>
              <w:bottom w:w="55" w:type="dxa"/>
              <w:end w:w="95" w:type="dxa"/>
            </w:tcMar>
            <w:tcBorders>
              <w:top w:val="single" w:sz="6" w:color="CED9DE"/>
              <w:left w:val="single" w:sz="6" w:color="CED9DE"/>
              <w:bottom w:val="single" w:sz="6" w:color="CED9DE"/>
              <w:right w:val="single" w:sz="6" w:color="CED9DE"/>
            </w:tcBorders>
            <w:shd w:fill="EAF3F4"/>
          </w:tcPr>
          <w:p>
            <w:pPr>
              <w:spacing w:after="20" w:before="0" w:line="247" w:lineRule="auto"/>
            </w:pPr>
            <w:r>
              <w:rPr>
                <w:rFonts w:ascii="Aptos" w:hAnsi="Aptos"/>
                <w:b/>
                <w:color w:val="0E6B6F"/>
                <w:sz w:val="15"/>
              </w:rPr>
              <w:t>TEST WHETHER THE INTERIM PLAN WORKS</w:t>
            </w:r>
          </w:p>
          <w:p>
            <w:pPr>
              <w:spacing w:after="20" w:line="240" w:lineRule="auto"/>
              <w:ind w:left="115" w:hanging="115"/>
            </w:pPr>
            <w:r>
              <w:rPr>
                <w:color w:val="0E6B6F"/>
                <w:sz w:val="16"/>
              </w:rPr>
              <w:t xml:space="preserve">• </w:t>
            </w:r>
            <w:r>
              <w:rPr>
                <w:rFonts w:ascii="Aptos" w:hAnsi="Aptos"/>
                <w:b/>
                <w:sz w:val="16"/>
              </w:rPr>
              <w:t xml:space="preserve">Family check: </w:t>
            </w:r>
            <w:r>
              <w:rPr>
                <w:rFonts w:ascii="Aptos" w:hAnsi="Aptos"/>
                <w:color w:val="1E2933"/>
                <w:sz w:val="16"/>
              </w:rPr>
              <w:t>Ask the family after the arrangement begins whether travel to and from school happened as arranged and was workable for them.</w:t>
            </w:r>
          </w:p>
          <w:p>
            <w:pPr>
              <w:spacing w:after="20" w:line="240" w:lineRule="auto"/>
              <w:ind w:left="115" w:hanging="115"/>
            </w:pPr>
            <w:r>
              <w:rPr>
                <w:color w:val="0E6B6F"/>
                <w:sz w:val="16"/>
              </w:rPr>
              <w:t xml:space="preserve">• </w:t>
            </w:r>
            <w:r>
              <w:rPr>
                <w:rFonts w:ascii="Aptos" w:hAnsi="Aptos"/>
                <w:b/>
                <w:sz w:val="16"/>
              </w:rPr>
              <w:t xml:space="preserve">Return point: </w:t>
            </w:r>
            <w:r>
              <w:rPr>
                <w:rFonts w:ascii="Aptos" w:hAnsi="Aptos"/>
                <w:color w:val="1E2933"/>
                <w:sz w:val="16"/>
              </w:rPr>
              <w:t>Record a named owner and a review point tied to the formal process becoming operational or a reported access problem—whichever comes first.</w:t>
            </w:r>
          </w:p>
        </w:tc>
      </w:tr>
    </w:tbl>
    <w:p>
      <w:pPr>
        <w:spacing w:after="20" w:before="0" w:line="245" w:lineRule="auto"/>
      </w:pPr>
      <w:r>
        <w:rPr>
          <w:rFonts w:ascii="Aptos" w:hAnsi="Aptos"/>
          <w:b/>
          <w:color w:val="0E6B6F"/>
          <w:sz w:val="14"/>
        </w:rPr>
        <w:t>COMPLETE BEFORE CLOSING</w:t>
      </w:r>
    </w:p>
    <w:p>
      <w:pPr>
        <w:keepNext/>
        <w:spacing w:after="60" w:before="0" w:line="245" w:lineRule="auto"/>
      </w:pPr>
      <w:r>
        <w:rPr>
          <w:rFonts w:ascii="Aptos" w:hAnsi="Aptos"/>
          <w:b/>
          <w:color w:val="173B57"/>
          <w:sz w:val="20"/>
        </w:rPr>
        <w:t>Live decision record</w:t>
      </w:r>
    </w:p>
    <w:tbl>
      <w:tblPr>
        <w:tblW w:type="auto" w:w="0"/>
        <w:tblLayout w:type="fixed"/>
        <w:tblLook w:firstColumn="1" w:firstRow="1" w:lastColumn="0" w:lastRow="0" w:noHBand="0" w:noVBand="1" w:val="04A0"/>
      </w:tblPr>
      <w:tblGrid>
        <w:gridCol w:w="2172"/>
        <w:gridCol w:w="2172"/>
        <w:gridCol w:w="2172"/>
        <w:gridCol w:w="2172"/>
        <w:gridCol w:w="2172"/>
      </w:tblGrid>
      <w:tr>
        <w:trPr>
          <w:tblHeader w:val="true"/>
        </w:trPr>
        <w:tc>
          <w:tcPr>
            <w:tcW w:type="dxa" w:w="2172"/>
            <w:shd w:fill="173B57"/>
            <w:tcBorders>
              <w:top w:val="single" w:sz="6" w:color="173B57"/>
              <w:left w:val="single" w:sz="6" w:color="173B57"/>
              <w:bottom w:val="single" w:sz="6" w:color="173B57"/>
              <w:right w:val="single" w:sz="6" w:color="173B57"/>
            </w:tcBorders>
            <w:tcMar>
              <w:top w:w="45" w:type="dxa"/>
              <w:start w:w="65" w:type="dxa"/>
              <w:bottom w:w="45" w:type="dxa"/>
              <w:end w:w="65" w:type="dxa"/>
            </w:tcMar>
          </w:tcPr>
          <w:p>
            <w:pPr>
              <w:spacing w:after="0" w:before="0" w:line="247" w:lineRule="auto"/>
            </w:pPr>
            <w:r>
              <w:rPr>
                <w:rFonts w:ascii="Aptos" w:hAnsi="Aptos"/>
                <w:b/>
                <w:color w:val="FFFFFF"/>
                <w:sz w:val="13"/>
              </w:rPr>
              <w:t>ITEM</w:t>
            </w:r>
          </w:p>
        </w:tc>
        <w:tc>
          <w:tcPr>
            <w:tcW w:type="dxa" w:w="2172"/>
            <w:shd w:fill="173B57"/>
            <w:tcBorders>
              <w:top w:val="single" w:sz="6" w:color="173B57"/>
              <w:left w:val="single" w:sz="6" w:color="173B57"/>
              <w:bottom w:val="single" w:sz="6" w:color="173B57"/>
              <w:right w:val="single" w:sz="6" w:color="173B57"/>
            </w:tcBorders>
            <w:tcMar>
              <w:top w:w="45" w:type="dxa"/>
              <w:start w:w="65" w:type="dxa"/>
              <w:bottom w:w="45" w:type="dxa"/>
              <w:end w:w="65" w:type="dxa"/>
            </w:tcMar>
          </w:tcPr>
          <w:p>
            <w:pPr>
              <w:spacing w:after="0" w:before="0" w:line="247" w:lineRule="auto"/>
            </w:pPr>
            <w:r>
              <w:rPr>
                <w:rFonts w:ascii="Aptos" w:hAnsi="Aptos"/>
                <w:b/>
                <w:color w:val="FFFFFF"/>
                <w:sz w:val="13"/>
              </w:rPr>
              <w:t>STATUS</w:t>
              <w:br/>
              <w:t>Agreed / Declined / Deferred</w:t>
            </w:r>
          </w:p>
        </w:tc>
        <w:tc>
          <w:tcPr>
            <w:tcW w:type="dxa" w:w="2172"/>
            <w:shd w:fill="173B57"/>
            <w:tcBorders>
              <w:top w:val="single" w:sz="6" w:color="173B57"/>
              <w:left w:val="single" w:sz="6" w:color="173B57"/>
              <w:bottom w:val="single" w:sz="6" w:color="173B57"/>
              <w:right w:val="single" w:sz="6" w:color="173B57"/>
            </w:tcBorders>
            <w:tcMar>
              <w:top w:w="45" w:type="dxa"/>
              <w:start w:w="65" w:type="dxa"/>
              <w:bottom w:w="45" w:type="dxa"/>
              <w:end w:w="65" w:type="dxa"/>
            </w:tcMar>
          </w:tcPr>
          <w:p>
            <w:pPr>
              <w:spacing w:after="0" w:before="0" w:line="247" w:lineRule="auto"/>
            </w:pPr>
            <w:r>
              <w:rPr>
                <w:rFonts w:ascii="Aptos" w:hAnsi="Aptos"/>
                <w:b/>
                <w:color w:val="FFFFFF"/>
                <w:sz w:val="13"/>
              </w:rPr>
              <w:t>OWNER</w:t>
            </w:r>
          </w:p>
        </w:tc>
        <w:tc>
          <w:tcPr>
            <w:tcW w:type="dxa" w:w="2172"/>
            <w:shd w:fill="173B57"/>
            <w:tcBorders>
              <w:top w:val="single" w:sz="6" w:color="173B57"/>
              <w:left w:val="single" w:sz="6" w:color="173B57"/>
              <w:bottom w:val="single" w:sz="6" w:color="173B57"/>
              <w:right w:val="single" w:sz="6" w:color="173B57"/>
            </w:tcBorders>
            <w:tcMar>
              <w:top w:w="45" w:type="dxa"/>
              <w:start w:w="65" w:type="dxa"/>
              <w:bottom w:w="45" w:type="dxa"/>
              <w:end w:w="65" w:type="dxa"/>
            </w:tcMar>
          </w:tcPr>
          <w:p>
            <w:pPr>
              <w:spacing w:after="0" w:before="0" w:line="247" w:lineRule="auto"/>
            </w:pPr>
            <w:r>
              <w:rPr>
                <w:rFonts w:ascii="Aptos" w:hAnsi="Aptos"/>
                <w:b/>
                <w:color w:val="FFFFFF"/>
                <w:sz w:val="13"/>
              </w:rPr>
              <w:t>RATIONALE OR UNRESOLVED CONDITION</w:t>
            </w:r>
          </w:p>
        </w:tc>
        <w:tc>
          <w:tcPr>
            <w:tcW w:type="dxa" w:w="2172"/>
            <w:shd w:fill="173B57"/>
            <w:tcBorders>
              <w:top w:val="single" w:sz="6" w:color="173B57"/>
              <w:left w:val="single" w:sz="6" w:color="173B57"/>
              <w:bottom w:val="single" w:sz="6" w:color="173B57"/>
              <w:right w:val="single" w:sz="6" w:color="173B57"/>
            </w:tcBorders>
            <w:tcMar>
              <w:top w:w="45" w:type="dxa"/>
              <w:start w:w="65" w:type="dxa"/>
              <w:bottom w:w="45" w:type="dxa"/>
              <w:end w:w="65" w:type="dxa"/>
            </w:tcMar>
          </w:tcPr>
          <w:p>
            <w:pPr>
              <w:spacing w:after="0" w:before="0" w:line="247" w:lineRule="auto"/>
            </w:pPr>
            <w:r>
              <w:rPr>
                <w:rFonts w:ascii="Aptos" w:hAnsi="Aptos"/>
                <w:b/>
                <w:color w:val="FFFFFF"/>
                <w:sz w:val="13"/>
              </w:rPr>
              <w:t>TIMING / REVIEW POINT</w:t>
            </w:r>
          </w:p>
        </w:tc>
      </w:tr>
      <w:tr>
        <w:trPr>
          <w:cantSplit/>
        </w:trPr>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shd w:fill="F4F7F8"/>
          </w:tcPr>
          <w:p>
            <w:pPr>
              <w:spacing w:after="0" w:before="0" w:line="247" w:lineRule="auto"/>
            </w:pPr>
            <w:r>
              <w:rPr>
                <w:rFonts w:ascii="Aptos" w:hAnsi="Aptos"/>
                <w:b/>
                <w:color w:val="173B57"/>
                <w:sz w:val="14"/>
              </w:rPr>
              <w:t>Immediate transport arrangement</w:t>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r>
      <w:tr>
        <w:trPr>
          <w:cantSplit/>
        </w:trPr>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shd w:fill="F4F7F8"/>
          </w:tcPr>
          <w:p>
            <w:pPr>
              <w:spacing w:after="0" w:before="0" w:line="247" w:lineRule="auto"/>
            </w:pPr>
            <w:r>
              <w:rPr>
                <w:rFonts w:ascii="Aptos" w:hAnsi="Aptos"/>
                <w:b/>
                <w:color w:val="173B57"/>
                <w:sz w:val="14"/>
              </w:rPr>
              <w:t>Formal-process transition / end state</w:t>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r>
      <w:tr>
        <w:trPr>
          <w:cantSplit/>
        </w:trPr>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shd w:fill="F4F7F8"/>
          </w:tcPr>
          <w:p>
            <w:pPr>
              <w:spacing w:after="0" w:before="0" w:line="247" w:lineRule="auto"/>
            </w:pPr>
            <w:r>
              <w:rPr>
                <w:rFonts w:ascii="Aptos" w:hAnsi="Aptos"/>
                <w:b/>
                <w:color w:val="173B57"/>
                <w:sz w:val="14"/>
              </w:rPr>
              <w:t>Counselling discussion</w:t>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c>
          <w:tcPr>
            <w:tcW w:type="dxa" w:w="2172"/>
            <w:tcMar>
              <w:top w:w="100" w:type="dxa"/>
              <w:start w:w="65" w:type="dxa"/>
              <w:bottom w:w="100" w:type="dxa"/>
              <w:end w:w="65" w:type="dxa"/>
            </w:tcMar>
            <w:tcBorders>
              <w:top w:val="single" w:sz="6" w:color="CED9DE"/>
              <w:left w:val="single" w:sz="6" w:color="CED9DE"/>
              <w:bottom w:val="single" w:sz="6" w:color="CED9DE"/>
              <w:right w:val="single" w:sz="6" w:color="CED9DE"/>
            </w:tcBorders>
          </w:tcPr>
          <w:p>
            <w:pPr>
              <w:spacing w:after="0" w:before="0" w:line="247" w:lineRule="auto"/>
            </w:pPr>
            <w:r>
              <w:rPr>
                <w:rFonts w:ascii="Aptos" w:hAnsi="Aptos"/>
                <w:b w:val="0"/>
                <w:color w:val="1E2933"/>
                <w:sz w:val="14"/>
              </w:rPr>
            </w:r>
          </w:p>
        </w:tc>
      </w:tr>
    </w:tbl>
    <w:p>
      <w:pPr>
        <w:spacing w:after="20" w:before="0" w:line="245" w:lineRule="auto"/>
      </w:pPr>
      <w:r>
        <w:rPr>
          <w:rFonts w:ascii="Aptos" w:hAnsi="Aptos"/>
          <w:b/>
          <w:color w:val="0E6B6F"/>
          <w:sz w:val="14"/>
        </w:rPr>
        <w:t>CLOSE WITH THIS SINGLE POSITION</w:t>
      </w:r>
    </w:p>
    <w:p>
      <w:pPr>
        <w:keepNext/>
        <w:spacing w:after="60" w:before="0" w:line="245" w:lineRule="auto"/>
      </w:pPr>
      <w:r>
        <w:rPr>
          <w:rFonts w:ascii="Aptos" w:hAnsi="Aptos"/>
          <w:b/>
          <w:color w:val="173B57"/>
          <w:sz w:val="20"/>
        </w:rPr>
        <w:t>Meeting position</w:t>
      </w:r>
    </w:p>
    <w:tbl>
      <w:tblPr>
        <w:tblW w:type="auto" w:w="0"/>
        <w:tblLook w:firstColumn="1" w:firstRow="1" w:lastColumn="0" w:lastRow="0" w:noHBand="0" w:noVBand="1" w:val="04A0"/>
      </w:tblPr>
      <w:tblGrid>
        <w:gridCol w:w="10858"/>
      </w:tblGrid>
      <w:tr>
        <w:tc>
          <w:tcPr>
            <w:tcW w:type="dxa" w:w="10858"/>
            <w:shd w:fill="173B57"/>
            <w:tcBorders>
              <w:top w:val="single" w:sz="6" w:color="173B57"/>
              <w:left w:val="single" w:sz="6" w:color="173B57"/>
              <w:bottom w:val="single" w:sz="6" w:color="173B57"/>
              <w:right w:val="single" w:sz="6" w:color="173B57"/>
            </w:tcBorders>
            <w:tcMar>
              <w:top w:w="95" w:type="dxa"/>
              <w:start w:w="130" w:type="dxa"/>
              <w:bottom w:w="95" w:type="dxa"/>
              <w:end w:w="130" w:type="dxa"/>
            </w:tcMar>
          </w:tcPr>
          <w:p>
            <w:pPr>
              <w:spacing w:after="0" w:before="0" w:line="247" w:lineRule="auto"/>
            </w:pPr>
            <w:r>
              <w:rPr>
                <w:rFonts w:ascii="Aptos" w:hAnsi="Aptos"/>
                <w:b/>
                <w:color w:val="FFFFFF"/>
                <w:sz w:val="17"/>
              </w:rPr>
              <w:t>We will support an interim arrangement that demonstrably gets the student to and from school while Marrowdale Unified’s formal process is put in place, with a named owner and review point; we will discuss the offered 30 minutes of school-based counselling each week as a separate support, but will not treat it as a substitute for transportation.</w:t>
            </w:r>
          </w:p>
        </w:tc>
      </w:tr>
    </w:tbl>
    <w:sectPr w:rsidR="00FC693F" w:rsidRPr="0006063C" w:rsidSect="00034616">
      <w:headerReference w:type="default" r:id="rId9"/>
      <w:footerReference w:type="default" r:id="rId10"/>
      <w:pgSz w:w="12240" w:h="15840"/>
      <w:pgMar w:top="648"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2616B"/>
        <w:sz w:val="14"/>
      </w:rPr>
      <w:t>Ainsley Calderon • Family social worker • Meeting aid • Tuesday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0E6B6F"/>
        <w:sz w:val="14"/>
      </w:rPr>
      <w:t>MARROWDALE UNIFIED  |  FAMILY TEAM MEETING AID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Team Meeting Negotiation Plan</dc:title>
  <dc:subject>Marrowdale Unified family team meeting</dc:subject>
  <dc:creator>Ainsley Calderon</dc:creator>
  <cp:keywords/>
  <dc:description>generated by python-docx</dc:description>
  <cp:lastModifiedBy/>
  <cp:revision>1</cp:revision>
  <dcterms:created xsi:type="dcterms:W3CDTF">2013-12-23T23:15:00Z</dcterms:created>
  <dcterms:modified xsi:type="dcterms:W3CDTF">2013-12-23T23:15:00Z</dcterms:modified>
  <cp:category/>
</cp:coreProperties>
</file>