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73B4D"/>
          <w:sz w:val="28"/>
        </w:rPr>
        <w:t>SERIAL RIGHTS — THURSDAY CALL BRIEF</w:t>
      </w:r>
    </w:p>
    <w:p>
      <w:pPr>
        <w:spacing w:after="60"/>
      </w:pPr>
      <w:r>
        <w:rPr>
          <w:i/>
          <w:color w:val="595959"/>
          <w:sz w:val="16"/>
        </w:rPr>
        <w:t>INTERNAL • Naledi Khouri, Features Editor | Felix Donnelly, Legal Counsel | October issue</w:t>
      </w:r>
    </w:p>
    <w:tbl>
      <w:tblPr>
        <w:tblStyle w:val="TableGrid"/>
        <w:tblW w:type="auto" w:w="0"/>
        <w:tblLook w:firstColumn="1" w:firstRow="1" w:lastColumn="0" w:lastRow="0" w:noHBand="0" w:noVBand="1" w:val="04A0"/>
      </w:tblPr>
      <w:tblGrid>
        <w:gridCol w:w="5553"/>
        <w:gridCol w:w="5553"/>
      </w:tblGrid>
      <w:tr>
        <w:tc>
          <w:tcPr>
            <w:tcW w:type="dxa" w:w="5553"/>
            <w:shd w:fill="EAF1F4"/>
          </w:tcPr>
          <w:p>
            <w:pPr>
              <w:spacing w:after="0" w:line="240" w:lineRule="auto"/>
            </w:pPr>
            <w:r/>
            <w:r>
              <w:rPr>
                <w:b/>
                <w:sz w:val="15"/>
              </w:rPr>
              <w:t>SUPPORTED CALL CONTEXT</w:t>
              <w:br/>
              <w:t>Thursday call with Agnes Hargrove, Overbrook Associates, representing retiring lock-keeper Iris Nightingale. One earlier offer was declined. Proposed transaction: serial extract from Iris Nightingale’s river diaries.</w:t>
            </w:r>
          </w:p>
        </w:tc>
        <w:tc>
          <w:tcPr>
            <w:tcW w:type="dxa" w:w="5553"/>
            <w:shd w:fill="EAF1F4"/>
          </w:tcPr>
          <w:p>
            <w:pPr>
              <w:spacing w:after="0" w:line="240" w:lineRule="auto"/>
            </w:pPr>
            <w:r/>
            <w:r>
              <w:rPr>
                <w:b/>
                <w:sz w:val="15"/>
              </w:rPr>
              <w:t>TIMING READING (CHOSEN)</w:t>
              <w:br/>
              <w:t>Treat Overbrook’s ‘publication week’ request as a release/appearance condition, not a reason to delay delivery. Seek material before the rival festival preview under a confidentiality/embargo condition; run it in the October issue’s publication week. This preserves competitive planning value without promising publication.</w:t>
            </w:r>
          </w:p>
        </w:tc>
      </w:tr>
    </w:tbl>
    <w:p>
      <w:pPr>
        <w:spacing w:before="60" w:after="20"/>
      </w:pPr>
      <w:r>
        <w:rPr>
          <w:b/>
          <w:color w:val="173B4D"/>
          <w:sz w:val="16"/>
        </w:rPr>
        <w:t>PRIORITY, GUARDRAILS &amp; AUTHORITY</w:t>
      </w:r>
    </w:p>
    <w:tbl>
      <w:tblPr>
        <w:tblStyle w:val="TableGrid"/>
        <w:tblW w:type="auto" w:w="0"/>
        <w:tblLook w:firstColumn="1" w:firstRow="1" w:lastColumn="0" w:lastRow="0" w:noHBand="0" w:noVBand="1" w:val="04A0"/>
      </w:tblPr>
      <w:tblGrid>
        <w:gridCol w:w="3702"/>
        <w:gridCol w:w="3702"/>
        <w:gridCol w:w="3702"/>
      </w:tblGrid>
      <w:tr>
        <w:tc>
          <w:tcPr>
            <w:tcW w:type="dxa" w:w="3702"/>
            <w:shd w:fill="173B4D"/>
          </w:tcPr>
          <w:p>
            <w:pPr>
              <w:spacing w:after="0" w:line="240" w:lineRule="auto"/>
            </w:pPr>
            <w:r/>
            <w:r>
              <w:rPr>
                <w:b/>
                <w:color w:val="FFFFFF"/>
                <w:sz w:val="15"/>
              </w:rPr>
              <w:t>PROTECT — NOT A TRADE</w:t>
            </w:r>
          </w:p>
        </w:tc>
        <w:tc>
          <w:tcPr>
            <w:tcW w:type="dxa" w:w="3702"/>
            <w:shd w:fill="173B4D"/>
          </w:tcPr>
          <w:p>
            <w:pPr>
              <w:spacing w:after="0" w:line="240" w:lineRule="auto"/>
            </w:pPr>
            <w:r/>
            <w:r>
              <w:rPr>
                <w:b/>
                <w:color w:val="FFFFFF"/>
                <w:sz w:val="15"/>
              </w:rPr>
              <w:t>SEEK IF AFFORDABLE — TRADABLE</w:t>
            </w:r>
          </w:p>
        </w:tc>
        <w:tc>
          <w:tcPr>
            <w:tcW w:type="dxa" w:w="3702"/>
            <w:shd w:fill="173B4D"/>
          </w:tcPr>
          <w:p>
            <w:pPr>
              <w:spacing w:after="0" w:line="240" w:lineRule="auto"/>
            </w:pPr>
            <w:r/>
            <w:r>
              <w:rPr>
                <w:b/>
                <w:color w:val="FFFFFF"/>
                <w:sz w:val="15"/>
              </w:rPr>
              <w:t>CALL AUTHORITY / STOP</w:t>
            </w:r>
          </w:p>
        </w:tc>
      </w:tr>
      <w:tr>
        <w:tc>
          <w:tcPr>
            <w:tcW w:type="dxa" w:w="3702"/>
          </w:tcPr>
          <w:p>
            <w:pPr>
              <w:spacing w:after="0" w:line="240" w:lineRule="auto"/>
            </w:pPr>
            <w:r/>
            <w:r>
              <w:rPr>
                <w:b w:val="0"/>
                <w:sz w:val="15"/>
              </w:rPr>
              <w:t>Right to include the 1997 flood chapter that names the water company. This is the indispensable editorial objective; do not reduce, defer, or barter it away.</w:t>
            </w:r>
          </w:p>
        </w:tc>
        <w:tc>
          <w:tcPr>
            <w:tcW w:type="dxa" w:w="3702"/>
          </w:tcPr>
          <w:p>
            <w:pPr>
              <w:spacing w:after="0" w:line="240" w:lineRule="auto"/>
            </w:pPr>
            <w:r/>
            <w:r>
              <w:rPr>
                <w:b w:val="0"/>
                <w:sz w:val="15"/>
              </w:rPr>
              <w:t>Fee; extract count; separately licensed access to/selectable photographs; and agreed jacket credit wording/placement, subject to final design. These are distinct currencies, not automatic diary rights.</w:t>
            </w:r>
          </w:p>
        </w:tc>
        <w:tc>
          <w:tcPr>
            <w:tcW w:type="dxa" w:w="3702"/>
          </w:tcPr>
          <w:p>
            <w:pPr>
              <w:spacing w:after="0" w:line="240" w:lineRule="auto"/>
            </w:pPr>
            <w:r/>
            <w:r>
              <w:rPr>
                <w:b w:val="0"/>
                <w:sz w:val="15"/>
              </w:rPr>
              <w:t>Naledi owns the call posture. Felix confirms rights scope and any language before commitment. Walk away from a package excluding the flood chapter or preventing pre-festival access; do not promise publication, legal clearance, or factual endorsement.</w:t>
            </w:r>
          </w:p>
        </w:tc>
      </w:tr>
    </w:tbl>
    <w:p>
      <w:pPr>
        <w:spacing w:before="60" w:after="20"/>
      </w:pPr>
      <w:r>
        <w:rPr>
          <w:b/>
          <w:color w:val="173B4D"/>
          <w:sz w:val="16"/>
        </w:rPr>
        <w:t>OPENING PACKAGE — INTERNAL ASSUMPTIONS, NOT MARKET FACTS</w:t>
      </w:r>
    </w:p>
    <w:tbl>
      <w:tblPr>
        <w:tblStyle w:val="TableGrid"/>
        <w:tblW w:type="auto" w:w="0"/>
        <w:tblLook w:firstColumn="1" w:firstRow="1" w:lastColumn="0" w:lastRow="0" w:noHBand="0" w:noVBand="1" w:val="04A0"/>
      </w:tblPr>
      <w:tblGrid>
        <w:gridCol w:w="5553"/>
        <w:gridCol w:w="5553"/>
      </w:tblGrid>
      <w:tr>
        <w:tc>
          <w:tcPr>
            <w:tcW w:type="dxa" w:w="5553"/>
            <w:shd w:fill="173B4D"/>
          </w:tcPr>
          <w:p>
            <w:pPr>
              <w:spacing w:after="0" w:line="240" w:lineRule="auto"/>
            </w:pPr>
            <w:r/>
            <w:r>
              <w:rPr>
                <w:b/>
                <w:color w:val="FFFFFF"/>
                <w:sz w:val="15"/>
              </w:rPr>
              <w:t>SAY / OFFER</w:t>
            </w:r>
          </w:p>
        </w:tc>
        <w:tc>
          <w:tcPr>
            <w:tcW w:type="dxa" w:w="5553"/>
            <w:shd w:fill="173B4D"/>
          </w:tcPr>
          <w:p>
            <w:pPr>
              <w:spacing w:after="0" w:line="240" w:lineRule="auto"/>
            </w:pPr>
            <w:r/>
            <w:r>
              <w:rPr>
                <w:b/>
                <w:color w:val="FFFFFF"/>
                <w:sz w:val="15"/>
              </w:rPr>
              <w:t>CONDITIONS TO STATE</w:t>
            </w:r>
          </w:p>
        </w:tc>
      </w:tr>
      <w:tr>
        <w:tc>
          <w:tcPr>
            <w:tcW w:type="dxa" w:w="5553"/>
          </w:tcPr>
          <w:p>
            <w:pPr>
              <w:spacing w:after="0" w:line="240" w:lineRule="auto"/>
            </w:pPr>
            <w:r/>
            <w:r>
              <w:rPr>
                <w:b w:val="0"/>
                <w:sz w:val="15"/>
              </w:rPr>
              <w:t>Propose £2,000 opening fee (internal assumption), one serial extract including the 1997 flood chapter, and a proposed delivery window before the rival festival preview. Offer a standard contributor credit; no jacket placement is guaranteed. Ask whether separate photo permission is available.</w:t>
            </w:r>
          </w:p>
        </w:tc>
        <w:tc>
          <w:tcPr>
            <w:tcW w:type="dxa" w:w="5553"/>
          </w:tcPr>
          <w:p>
            <w:pPr>
              <w:spacing w:after="0" w:line="240" w:lineRule="auto"/>
            </w:pPr>
            <w:r/>
            <w:r>
              <w:rPr>
                <w:b w:val="0"/>
                <w:sz w:val="15"/>
              </w:rPr>
              <w:t>Conditional on agreement of: October publication-week appearance; confidential pre-festival delivery/embargo; defined print/digital format, territory, term, exclusivity and any approval right; text/photo permissions kept separate; and Felix’s review. Proposed figures/dates require agreement.</w:t>
            </w:r>
          </w:p>
        </w:tc>
      </w:tr>
    </w:tbl>
    <w:p>
      <w:pPr>
        <w:spacing w:before="60" w:after="20"/>
      </w:pPr>
      <w:r>
        <w:rPr>
          <w:b/>
          <w:color w:val="173B4D"/>
          <w:sz w:val="16"/>
        </w:rPr>
        <w:t>CONCESSION LADDER — RETAIN A LIVE TERM THROUGH TWO COUNTERS</w:t>
      </w:r>
    </w:p>
    <w:tbl>
      <w:tblPr>
        <w:tblStyle w:val="TableGrid"/>
        <w:tblW w:type="auto" w:w="0"/>
        <w:tblLook w:firstColumn="1" w:firstRow="1" w:lastColumn="0" w:lastRow="0" w:noHBand="0" w:noVBand="1" w:val="04A0"/>
      </w:tblPr>
      <w:tblGrid>
        <w:gridCol w:w="3702"/>
        <w:gridCol w:w="3702"/>
        <w:gridCol w:w="3702"/>
      </w:tblGrid>
      <w:tr>
        <w:tc>
          <w:tcPr>
            <w:tcW w:type="dxa" w:w="3702"/>
            <w:shd w:fill="173B4D"/>
          </w:tcPr>
          <w:p>
            <w:pPr>
              <w:spacing w:after="0" w:line="240" w:lineRule="auto"/>
            </w:pPr>
            <w:r/>
            <w:r>
              <w:rPr>
                <w:b/>
                <w:color w:val="FFFFFF"/>
                <w:sz w:val="15"/>
              </w:rPr>
              <w:t>STAGE</w:t>
            </w:r>
          </w:p>
        </w:tc>
        <w:tc>
          <w:tcPr>
            <w:tcW w:type="dxa" w:w="3702"/>
            <w:shd w:fill="173B4D"/>
          </w:tcPr>
          <w:p>
            <w:pPr>
              <w:spacing w:after="0" w:line="240" w:lineRule="auto"/>
            </w:pPr>
            <w:r/>
            <w:r>
              <w:rPr>
                <w:b/>
                <w:color w:val="FFFFFF"/>
                <w:sz w:val="15"/>
              </w:rPr>
              <w:t>GIVE (ONLY IF)</w:t>
            </w:r>
          </w:p>
        </w:tc>
        <w:tc>
          <w:tcPr>
            <w:tcW w:type="dxa" w:w="3702"/>
            <w:shd w:fill="173B4D"/>
          </w:tcPr>
          <w:p>
            <w:pPr>
              <w:spacing w:after="0" w:line="240" w:lineRule="auto"/>
            </w:pPr>
            <w:r/>
            <w:r>
              <w:rPr>
                <w:b/>
                <w:color w:val="FFFFFF"/>
                <w:sz w:val="15"/>
              </w:rPr>
              <w:t>GET / KEEP</w:t>
            </w:r>
          </w:p>
        </w:tc>
      </w:tr>
      <w:tr>
        <w:tc>
          <w:tcPr>
            <w:tcW w:type="dxa" w:w="3702"/>
          </w:tcPr>
          <w:p>
            <w:pPr>
              <w:spacing w:after="0" w:line="240" w:lineRule="auto"/>
            </w:pPr>
            <w:r/>
            <w:r>
              <w:rPr>
                <w:b/>
                <w:sz w:val="15"/>
              </w:rPr>
              <w:t>Opening</w:t>
            </w:r>
          </w:p>
        </w:tc>
        <w:tc>
          <w:tcPr>
            <w:tcW w:type="dxa" w:w="3702"/>
          </w:tcPr>
          <w:p>
            <w:pPr>
              <w:spacing w:after="0" w:line="240" w:lineRule="auto"/>
            </w:pPr>
            <w:r/>
            <w:r>
              <w:rPr>
                <w:b w:val="0"/>
                <w:sz w:val="15"/>
              </w:rPr>
              <w:t>£2,000; 1 extract; ask for photo option; contributor credit.</w:t>
            </w:r>
          </w:p>
        </w:tc>
        <w:tc>
          <w:tcPr>
            <w:tcW w:type="dxa" w:w="3702"/>
          </w:tcPr>
          <w:p>
            <w:pPr>
              <w:spacing w:after="0" w:line="240" w:lineRule="auto"/>
            </w:pPr>
            <w:r/>
            <w:r>
              <w:rPr>
                <w:b w:val="0"/>
                <w:sz w:val="15"/>
              </w:rPr>
              <w:t>1997 flood chapter + pre-festival confidential delivery; October publication-week appearance.</w:t>
            </w:r>
          </w:p>
        </w:tc>
      </w:tr>
      <w:tr>
        <w:tc>
          <w:tcPr>
            <w:tcW w:type="dxa" w:w="3702"/>
          </w:tcPr>
          <w:p>
            <w:pPr>
              <w:spacing w:after="0" w:line="240" w:lineRule="auto"/>
            </w:pPr>
            <w:r/>
            <w:r>
              <w:rPr>
                <w:b/>
                <w:sz w:val="15"/>
              </w:rPr>
              <w:t>Counter 1</w:t>
            </w:r>
          </w:p>
        </w:tc>
        <w:tc>
          <w:tcPr>
            <w:tcW w:type="dxa" w:w="3702"/>
          </w:tcPr>
          <w:p>
            <w:pPr>
              <w:spacing w:after="0" w:line="240" w:lineRule="auto"/>
            </w:pPr>
            <w:r/>
            <w:r>
              <w:rPr>
                <w:b w:val="0"/>
                <w:sz w:val="15"/>
              </w:rPr>
              <w:t>If timing/access is accepted: allow 2 extracts OR pay for a defined, separately granted photo selection (not both by default).</w:t>
            </w:r>
          </w:p>
        </w:tc>
        <w:tc>
          <w:tcPr>
            <w:tcW w:type="dxa" w:w="3702"/>
          </w:tcPr>
          <w:p>
            <w:pPr>
              <w:spacing w:after="0" w:line="240" w:lineRule="auto"/>
            </w:pPr>
            <w:r/>
            <w:r>
              <w:rPr>
                <w:b w:val="0"/>
                <w:sz w:val="15"/>
              </w:rPr>
              <w:t>Keep flood chapter; secure pre-festival delivery/embargo and written scope. Hold fee and jacket credit.</w:t>
            </w:r>
          </w:p>
        </w:tc>
      </w:tr>
      <w:tr>
        <w:tc>
          <w:tcPr>
            <w:tcW w:type="dxa" w:w="3702"/>
          </w:tcPr>
          <w:p>
            <w:pPr>
              <w:spacing w:after="0" w:line="240" w:lineRule="auto"/>
            </w:pPr>
            <w:r/>
            <w:r>
              <w:rPr>
                <w:b/>
                <w:sz w:val="15"/>
              </w:rPr>
              <w:t>Counter 2</w:t>
            </w:r>
          </w:p>
        </w:tc>
        <w:tc>
          <w:tcPr>
            <w:tcW w:type="dxa" w:w="3702"/>
          </w:tcPr>
          <w:p>
            <w:pPr>
              <w:spacing w:after="0" w:line="240" w:lineRule="auto"/>
            </w:pPr>
            <w:r/>
            <w:r>
              <w:rPr>
                <w:b w:val="0"/>
                <w:sz w:val="15"/>
              </w:rPr>
              <w:t>If scope and timing are confirmed: move fee only to £3,000 ceiling (internal assumption) OR offer agreed jacket-credit wording subject to final design/approval—not a guaranteed placement.</w:t>
            </w:r>
          </w:p>
        </w:tc>
        <w:tc>
          <w:tcPr>
            <w:tcW w:type="dxa" w:w="3702"/>
          </w:tcPr>
          <w:p>
            <w:pPr>
              <w:spacing w:after="0" w:line="240" w:lineRule="auto"/>
            </w:pPr>
            <w:r/>
            <w:r>
              <w:rPr>
                <w:b w:val="0"/>
                <w:sz w:val="15"/>
              </w:rPr>
              <w:t>Keep flood chapter, delivery/embargo, and separate photo permission. Do not concede a third currency without Felix’s confirmation.</w:t>
            </w:r>
          </w:p>
        </w:tc>
      </w:tr>
    </w:tbl>
    <w:p>
      <w:pPr>
        <w:spacing w:before="60" w:after="20"/>
      </w:pPr>
      <w:r>
        <w:rPr>
          <w:b/>
          <w:color w:val="173B4D"/>
          <w:sz w:val="16"/>
        </w:rPr>
        <w:t>WHAT THE CALL MAY SAY / PUBLICATION BOUNDARY</w:t>
      </w:r>
    </w:p>
    <w:tbl>
      <w:tblPr>
        <w:tblStyle w:val="TableGrid"/>
        <w:tblW w:type="auto" w:w="0"/>
        <w:tblLook w:firstColumn="1" w:firstRow="1" w:lastColumn="0" w:lastRow="0" w:noHBand="0" w:noVBand="1" w:val="04A0"/>
      </w:tblPr>
      <w:tblGrid>
        <w:gridCol w:w="5553"/>
        <w:gridCol w:w="5553"/>
      </w:tblGrid>
      <w:tr>
        <w:tc>
          <w:tcPr>
            <w:tcW w:type="dxa" w:w="5553"/>
            <w:shd w:fill="173B4D"/>
          </w:tcPr>
          <w:p>
            <w:pPr>
              <w:spacing w:after="0" w:line="240" w:lineRule="auto"/>
            </w:pPr>
            <w:r/>
            <w:r>
              <w:rPr>
                <w:b/>
                <w:color w:val="FFFFFF"/>
                <w:sz w:val="15"/>
              </w:rPr>
              <w:t>CAN SAY NOW</w:t>
            </w:r>
          </w:p>
        </w:tc>
        <w:tc>
          <w:tcPr>
            <w:tcW w:type="dxa" w:w="5553"/>
            <w:shd w:fill="173B4D"/>
          </w:tcPr>
          <w:p>
            <w:pPr>
              <w:spacing w:after="0" w:line="240" w:lineRule="auto"/>
            </w:pPr>
            <w:r/>
            <w:r>
              <w:rPr>
                <w:b/>
                <w:color w:val="FFFFFF"/>
                <w:sz w:val="15"/>
              </w:rPr>
              <w:t>VERIFY BEFORE ANY PUBLICATION</w:t>
            </w:r>
          </w:p>
        </w:tc>
      </w:tr>
      <w:tr>
        <w:tc>
          <w:tcPr>
            <w:tcW w:type="dxa" w:w="5553"/>
          </w:tcPr>
          <w:p>
            <w:pPr>
              <w:spacing w:after="0" w:line="240" w:lineRule="auto"/>
            </w:pPr>
            <w:r/>
            <w:r>
              <w:rPr>
                <w:b w:val="0"/>
                <w:sz w:val="15"/>
              </w:rPr>
              <w:t>Ashcombe seeks a serial extract and values the 1997 chapter; timing and commercial terms are negotiable subject to agreement and review. Acquiring the chapter’s text rights is not permission or factual endorsement to characterize the water company’s conduct. Do not use the flood chapter as a bluff, threat, leverage by implied accusation, or finding about the water company.</w:t>
            </w:r>
          </w:p>
        </w:tc>
        <w:tc>
          <w:tcPr>
            <w:tcW w:type="dxa" w:w="5553"/>
          </w:tcPr>
          <w:p>
            <w:pPr>
              <w:spacing w:after="0" w:line="240" w:lineRule="auto"/>
            </w:pPr>
            <w:r/>
            <w:r>
              <w:rPr>
                <w:b w:val="0"/>
                <w:sz w:val="15"/>
              </w:rPr>
              <w:t>Confirm authority, text/version, rights scope, and photo ownership/permission. Fact-check names, dates, quotations and available records; secure appropriate attribution and a response opportunity where warranted. The diary, and its inclusion in a package, does not by itself establish that the water company acted wrongly.</w:t>
            </w:r>
          </w:p>
        </w:tc>
      </w:tr>
    </w:tbl>
    <w:p>
      <w:pPr>
        <w:spacing w:before="80" w:after="0"/>
        <w:ind w:left="68" w:right="68"/>
      </w:pPr>
      <w:r>
        <w:rPr>
          <w:b/>
          <w:color w:val="173B4D"/>
          <w:sz w:val="16"/>
        </w:rPr>
        <w:t>NEGOTIATING POSITION: Hold firm on confidential pre-festival access to a serial extract including the 1997 flood chapter, with October publication-week appearance; trade only the four commercial currencies in the stated order and subject every commitment to written agreement and Felix’s review.</w:t>
      </w:r>
    </w:p>
    <w:sectPr w:rsidR="00FC693F" w:rsidRPr="0006063C" w:rsidSect="00034616">
      <w:footerReference w:type="default" r:id="rId9"/>
      <w:pgSz w:w="12240" w:h="15840"/>
      <w:pgMar w:top="442" w:right="567" w:bottom="369"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3"/>
      </w:rPr>
      <w:t>Ashcombe Media • Internal negotiating aid • 1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40" w:lineRule="auto"/>
    </w:pPr>
    <w:rPr>
      <w:rFonts w:ascii="Aptos" w:hAnsi="Aptos" w:eastAsia="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