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Tenant Service-Request and Escalation Procedure</w:t>
      </w:r>
    </w:p>
    <w:p>
      <w:pPr>
        <w:jc w:val="center"/>
      </w:pPr>
      <w:r>
        <w:rPr>
          <w:b/>
          <w:color w:val="444444"/>
          <w:sz w:val="18"/>
        </w:rPr>
        <w:t>Alder Point Medical Plaza  |  Three-building physician-practice campus</w:t>
      </w:r>
    </w:p>
    <w:tbl>
      <w:tblPr>
        <w:tblStyle w:val="TableGrid"/>
        <w:tblW w:type="auto" w:w="0"/>
        <w:jc w:val="center"/>
        <w:tblLook w:firstColumn="1" w:firstRow="1" w:lastColumn="0" w:lastRow="0" w:noHBand="0" w:noVBand="1" w:val="04A0"/>
      </w:tblPr>
      <w:tblGrid>
        <w:gridCol w:w="5328"/>
        <w:gridCol w:w="5328"/>
      </w:tblGrid>
      <w:tr>
        <w:tc>
          <w:tcPr>
            <w:tcW w:type="dxa" w:w="4032"/>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6"/>
              </w:rPr>
              <w:t>Document control</w:t>
            </w:r>
          </w:p>
        </w:tc>
        <w:tc>
          <w:tcPr>
            <w:tcW w:type="dxa" w:w="6480"/>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6"/>
              </w:rPr>
              <w:t>Use</w:t>
            </w:r>
          </w:p>
        </w:tc>
      </w:tr>
      <w:tr>
        <w:tc>
          <w:tcPr>
            <w:tcW w:type="dxa" w:w="403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6"/>
              </w:rPr>
              <w:t>Revision: 2.0  •  Effective: July 1</w:t>
            </w:r>
          </w:p>
        </w:tc>
        <w:tc>
          <w:tcPr>
            <w:tcW w:type="dxa" w:w="6480"/>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6"/>
              </w:rPr>
              <w:t>For tenant practice administrators and front-desk staff, including first-time users.</w:t>
            </w:r>
          </w:p>
        </w:tc>
      </w:tr>
      <w:tr>
        <w:tc>
          <w:tcPr>
            <w:tcW w:type="dxa" w:w="403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6"/>
              </w:rPr>
              <w:t>Owner: Highmarsh Field Services for Amberfield Logistics</w:t>
            </w:r>
          </w:p>
        </w:tc>
        <w:tc>
          <w:tcPr>
            <w:tcW w:type="dxa" w:w="6480"/>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6"/>
              </w:rPr>
              <w:t>Print-ready and editable. Update bracketed local contact fields before distribution.</w:t>
            </w:r>
          </w:p>
        </w:tc>
      </w:tr>
    </w:tbl>
    <w:p>
      <w:pPr>
        <w:spacing w:after="0"/>
      </w:pPr>
    </w:p>
    <w:p>
      <w:pPr>
        <w:pStyle w:val="Heading1"/>
        <w:spacing w:before="120" w:after="60"/>
      </w:pPr>
      <w:r>
        <w:t>Start here — choose one path</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If you see…</w:t>
            </w:r>
          </w:p>
        </w:tc>
        <w:tc>
          <w:tcPr>
            <w:tcW w:type="dxa" w:w="1152"/>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Classify as</w:t>
            </w:r>
          </w:p>
        </w:tc>
        <w:tc>
          <w:tcPr>
            <w:tcW w:type="dxa" w:w="3384"/>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First action</w:t>
            </w:r>
          </w:p>
        </w:tc>
        <w:tc>
          <w:tcPr>
            <w:tcW w:type="dxa" w:w="3528"/>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Then</w:t>
            </w:r>
          </w:p>
        </w:tc>
      </w:tr>
      <w:tr>
        <w:tc>
          <w:tcPr>
            <w:tcW w:type="dxa" w:w="244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Immediate danger to people, property, or a critical building system: fire/smoke, gas odor, exposed electrical hazard, uncontrolled water release, major utility failure.</w:t>
            </w:r>
          </w:p>
        </w:tc>
        <w:tc>
          <w:tcPr>
            <w:tcW w:type="dxa" w:w="115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EMERGENCY</w:t>
            </w:r>
          </w:p>
        </w:tc>
        <w:tc>
          <w:tcPr>
            <w:tcW w:type="dxa" w:w="338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Call emergency services / follow applicable on-site emergency action. Do not wait for a portal acknowledgement.</w:t>
            </w:r>
          </w:p>
        </w:tc>
        <w:tc>
          <w:tcPr>
            <w:tcW w:type="dxa" w:w="352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When safe, call [ON-CALL SERVICE NUMBER] and give the location. A property record is created afterward.</w:t>
            </w:r>
          </w:p>
        </w:tc>
      </w:tr>
      <w:tr>
        <w:tc>
          <w:tcPr>
            <w:tcW w:type="dxa" w:w="244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No immediate danger, but a same-day patient-operation impact: a treatment area cannot be used, a severe comfort issue disrupts patient care, or a safe access failure blocks operations.</w:t>
            </w:r>
          </w:p>
        </w:tc>
        <w:tc>
          <w:tcPr>
            <w:tcW w:type="dxa" w:w="115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URGENT</w:t>
            </w:r>
          </w:p>
        </w:tc>
        <w:tc>
          <w:tcPr>
            <w:tcW w:type="dxa" w:w="338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During staffed hours use [SERVICE REQUEST PORTAL / URL]. After-hours call [ON-CALL SERVICE NUMBER].</w:t>
            </w:r>
          </w:p>
        </w:tc>
        <w:tc>
          <w:tcPr>
            <w:tcW w:type="dxa" w:w="352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Give the required details below. If not acknowledged by the stated next-update commitment or it worsens, call the on-call route and reclassify as Emergency if danger develops.</w:t>
            </w:r>
          </w:p>
        </w:tc>
      </w:tr>
      <w:tr>
        <w:tc>
          <w:tcPr>
            <w:tcW w:type="dxa" w:w="244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Comfort, maintenance, or administrative item that can be scheduled normally: minor temperature adjustment, noncritical light, door hardware, or a request for information.</w:t>
            </w:r>
          </w:p>
        </w:tc>
        <w:tc>
          <w:tcPr>
            <w:tcW w:type="dxa" w:w="115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ROUTINE</w:t>
            </w:r>
          </w:p>
        </w:tc>
        <w:tc>
          <w:tcPr>
            <w:tcW w:type="dxa" w:w="338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Use [SERVICE REQUEST PORTAL / URL] during staffed hours.</w:t>
            </w:r>
          </w:p>
        </w:tc>
        <w:tc>
          <w:tcPr>
            <w:tcW w:type="dxa" w:w="352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Keep the ticket number. Escalate using [SERVICE COORDINATION CONTACT] if the communicated update is missed.</w:t>
            </w:r>
          </w:p>
        </w:tc>
      </w:tr>
    </w:tbl>
    <w:p>
      <w:pPr>
        <w:spacing w:after="0"/>
      </w:pPr>
    </w:p>
    <w:p>
      <w:pPr>
        <w:spacing w:after="60" w:line="240" w:lineRule="auto"/>
      </w:pPr>
      <w:r>
        <w:rPr>
          <w:b/>
        </w:rPr>
        <w:t>Building staffed hours:</w:t>
      </w:r>
      <w:r>
        <w:t xml:space="preserve"> Monday–Friday, 7:00 a.m.–6:00 p.m. “After-hours” means any time outside that period, even when your practice is open or closed at a different time.</w:t>
      </w:r>
    </w:p>
    <w:p>
      <w:pPr>
        <w:spacing w:after="60" w:line="240" w:lineRule="auto"/>
      </w:pPr>
      <w:r>
        <w:rPr>
          <w:b/>
        </w:rPr>
        <w:t>Safety:</w:t>
      </w:r>
      <w:r>
        <w:t xml:space="preserve"> Do not enter unsafe areas, disturb a hazardous condition, or attempt repairs to building systems. Do not take a photo if doing so requires approaching a hazard.</w:t>
      </w:r>
    </w:p>
    <w:p>
      <w:r>
        <w:br w:type="page"/>
      </w:r>
    </w:p>
    <w:p>
      <w:pPr>
        <w:pStyle w:val="Heading1"/>
        <w:spacing w:before="120" w:after="60"/>
      </w:pPr>
      <w:r>
        <w:t>1. Purpose, scope, and shared terms</w:t>
      </w:r>
    </w:p>
    <w:p>
      <w:pPr>
        <w:spacing w:after="60" w:line="240" w:lineRule="auto"/>
      </w:pPr>
      <w:r>
        <w:t>This procedure governs reporting, tracking, escalation, authorization, updates, and closure of service issues in physician-practice suites and common or building-service areas across all three Alder Point Medical Plaza buildings. It simplifies tenant intake; it does not change engineer dispatch priorities, lease obligations, chargeability, or owner approval policy.</w:t>
      </w:r>
    </w:p>
    <w:tbl>
      <w:tblPr>
        <w:tblStyle w:val="TableGrid"/>
        <w:tblW w:type="auto" w:w="0"/>
        <w:jc w:val="center"/>
        <w:tblLook w:firstColumn="1" w:firstRow="1" w:lastColumn="0" w:lastRow="0" w:noHBand="0" w:noVBand="1" w:val="04A0"/>
      </w:tblPr>
      <w:tblGrid>
        <w:gridCol w:w="5328"/>
        <w:gridCol w:w="5328"/>
      </w:tblGrid>
      <w:tr>
        <w:tc>
          <w:tcPr>
            <w:tcW w:type="dxa" w:w="1944"/>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Term</w:t>
            </w:r>
          </w:p>
        </w:tc>
        <w:tc>
          <w:tcPr>
            <w:tcW w:type="dxa" w:w="8568"/>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Meaning for this procedure</w:t>
            </w:r>
          </w:p>
        </w:tc>
      </w:tr>
      <w:tr>
        <w:tc>
          <w:tcPr>
            <w:tcW w:type="dxa" w:w="194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Emergency</w:t>
            </w:r>
          </w:p>
        </w:tc>
        <w:tc>
          <w:tcPr>
            <w:tcW w:type="dxa" w:w="856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An immediate threat to people, property, or a critical building system. Safety response comes before ordinary work-order processing.</w:t>
            </w:r>
          </w:p>
        </w:tc>
      </w:tr>
      <w:tr>
        <w:tc>
          <w:tcPr>
            <w:tcW w:type="dxa" w:w="194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Urgent</w:t>
            </w:r>
          </w:p>
        </w:tc>
        <w:tc>
          <w:tcPr>
            <w:tcW w:type="dxa" w:w="856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A non-life-safety condition materially affecting same-day patient operations. It is not an emergency and does not replace engineering’s assigned dispatch priority.</w:t>
            </w:r>
          </w:p>
        </w:tc>
      </w:tr>
      <w:tr>
        <w:tc>
          <w:tcPr>
            <w:tcW w:type="dxa" w:w="194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Routine</w:t>
            </w:r>
          </w:p>
        </w:tc>
        <w:tc>
          <w:tcPr>
            <w:tcW w:type="dxa" w:w="856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No immediate danger and no same-day operational intervention required; normal scheduling is appropriate.</w:t>
            </w:r>
          </w:p>
        </w:tc>
      </w:tr>
      <w:tr>
        <w:tc>
          <w:tcPr>
            <w:tcW w:type="dxa" w:w="194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Potentially billable</w:t>
            </w:r>
          </w:p>
        </w:tc>
        <w:tc>
          <w:tcPr>
            <w:tcW w:type="dxa" w:w="856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A flag for lease/management review, not a confirmed charge. Submission, dispatch, an estimate, or authorization does not establish final billing.</w:t>
            </w:r>
          </w:p>
        </w:tc>
      </w:tr>
      <w:tr>
        <w:tc>
          <w:tcPr>
            <w:tcW w:type="dxa" w:w="194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Authorized tenant contact</w:t>
            </w:r>
          </w:p>
        </w:tc>
        <w:tc>
          <w:tcPr>
            <w:tcW w:type="dxa" w:w="856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The tenant-designated person who may provide required written approval and coordinate access or follow-up; the requester may be someone else.</w:t>
            </w:r>
          </w:p>
        </w:tc>
      </w:tr>
      <w:tr>
        <w:tc>
          <w:tcPr>
            <w:tcW w:type="dxa" w:w="194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Ticket / reference</w:t>
            </w:r>
          </w:p>
        </w:tc>
        <w:tc>
          <w:tcPr>
            <w:tcW w:type="dxa" w:w="856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The identifier used for every update, call, escalation, attachment, closure, and reopening.</w:t>
            </w:r>
          </w:p>
        </w:tc>
      </w:tr>
    </w:tbl>
    <w:p>
      <w:pPr>
        <w:spacing w:after="0"/>
      </w:pPr>
    </w:p>
    <w:p>
      <w:pPr>
        <w:pStyle w:val="Heading1"/>
        <w:spacing w:before="120" w:after="60"/>
      </w:pPr>
      <w:r>
        <w:t>2. Submit one request — no duplicate entry</w:t>
      </w:r>
    </w:p>
    <w:p>
      <w:pPr>
        <w:spacing w:after="60" w:line="240" w:lineRule="auto"/>
      </w:pPr>
      <w:r>
        <w:t>For non-emergencies during staffed hours, the portal is the one primary intake route: [SERVICE REQUEST PORTAL / URL]. A phone call is not also required after a successful portal submission. For urgent after-hours conditions, use [ON-CALL SERVICE NUMBER]; the service team creates or links the ticket. Do not enter the same issue again in the portal unless asked to do so.</w:t>
      </w:r>
    </w:p>
    <w:p>
      <w:pPr>
        <w:spacing w:after="60" w:line="240" w:lineRule="auto"/>
      </w:pPr>
      <w:r>
        <w:rPr>
          <w:b/>
        </w:rPr>
        <w:t>If the portal is unavailable:</w:t>
      </w:r>
      <w:r/>
    </w:p>
    <w:p>
      <w:pPr>
        <w:pStyle w:val="ListBullet"/>
        <w:spacing w:after="20" w:line="240" w:lineRule="auto"/>
      </w:pPr>
      <w:r>
        <w:t>Emergency: use emergency services/on-site emergency action first, then [ON-CALL SERVICE NUMBER] when safe. Do not wait for the portal.</w:t>
      </w:r>
    </w:p>
    <w:p>
      <w:pPr>
        <w:pStyle w:val="ListBullet"/>
        <w:spacing w:after="20" w:line="240" w:lineRule="auto"/>
      </w:pPr>
      <w:r>
        <w:t>Urgent: call [ON-CALL SERVICE NUMBER] (after-hours) or [SERVICE COORDINATION CONTACT] (staffed hours) and state “portal unavailable.”</w:t>
      </w:r>
    </w:p>
    <w:p>
      <w:pPr>
        <w:pStyle w:val="ListBullet"/>
        <w:spacing w:after="20" w:line="240" w:lineRule="auto"/>
      </w:pPr>
      <w:r>
        <w:t>Routine: call or email [SERVICE COORDINATION CONTACT / EMAIL] during staffed hours. The service team records one ticket and gives you the reference. If you later use the portal, enter that reference only—do not create a second request.</w:t>
      </w:r>
    </w:p>
    <w:p>
      <w:pPr>
        <w:pStyle w:val="Heading2"/>
        <w:spacing w:before="60" w:after="60"/>
      </w:pPr>
      <w:r>
        <w:t>Information to provide (front desk can collect this)</w:t>
      </w:r>
    </w:p>
    <w:tbl>
      <w:tblPr>
        <w:tblStyle w:val="TableGrid"/>
        <w:tblW w:type="auto" w:w="0"/>
        <w:jc w:val="center"/>
        <w:tblLook w:firstColumn="1" w:firstRow="1" w:lastColumn="0" w:lastRow="0" w:noHBand="0" w:noVBand="1" w:val="04A0"/>
      </w:tblPr>
      <w:tblGrid>
        <w:gridCol w:w="5328"/>
        <w:gridCol w:w="5328"/>
      </w:tblGrid>
      <w:tr>
        <w:tc>
          <w:tcPr>
            <w:tcW w:type="dxa" w:w="1944"/>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Tell us</w:t>
            </w:r>
          </w:p>
        </w:tc>
        <w:tc>
          <w:tcPr>
            <w:tcW w:type="dxa" w:w="8568"/>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What to include</w:t>
            </w:r>
          </w:p>
        </w:tc>
      </w:tr>
      <w:tr>
        <w:tc>
          <w:tcPr>
            <w:tcW w:type="dxa" w:w="194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Where</w:t>
            </w:r>
          </w:p>
        </w:tc>
        <w:tc>
          <w:tcPr>
            <w:tcW w:type="dxa" w:w="856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Building; practice name and suite; exact room/area (for example, reception, exam room, corridor, or mechanical-area access point).</w:t>
            </w:r>
          </w:p>
        </w:tc>
      </w:tr>
      <w:tr>
        <w:tc>
          <w:tcPr>
            <w:tcW w:type="dxa" w:w="194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What you observe</w:t>
            </w:r>
          </w:p>
        </w:tc>
        <w:tc>
          <w:tcPr>
            <w:tcW w:type="dxa" w:w="856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What is happening—not a technical diagnosis—and when it began or was first noticed.</w:t>
            </w:r>
          </w:p>
        </w:tc>
      </w:tr>
      <w:tr>
        <w:tc>
          <w:tcPr>
            <w:tcW w:type="dxa" w:w="194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Impact</w:t>
            </w:r>
          </w:p>
        </w:tc>
        <w:tc>
          <w:tcPr>
            <w:tcW w:type="dxa" w:w="856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Effect on patient care, operations, access, comfort, or safety. Impact does not downgrade a genuine Emergency.</w:t>
            </w:r>
          </w:p>
        </w:tc>
      </w:tr>
      <w:tr>
        <w:tc>
          <w:tcPr>
            <w:tcW w:type="dxa" w:w="194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Contact &amp; access</w:t>
            </w:r>
          </w:p>
        </w:tc>
        <w:tc>
          <w:tcPr>
            <w:tcW w:type="dxa" w:w="856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Requester name and reliable callback method; authorized tenant contact if different; access hours/restrictions; escort or advance-notice need.</w:t>
            </w:r>
          </w:p>
        </w:tc>
      </w:tr>
      <w:tr>
        <w:tc>
          <w:tcPr>
            <w:tcW w:type="dxa" w:w="194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Attachments &amp; privacy</w:t>
            </w:r>
          </w:p>
        </w:tc>
        <w:tc>
          <w:tcPr>
            <w:tcW w:type="dxa" w:w="856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Photos/supporting files only if useful and safe. Do not include patient-identifying information or other unnecessary sensitive information in requests, photos, or attachments.</w:t>
            </w:r>
          </w:p>
        </w:tc>
      </w:tr>
      <w:tr>
        <w:tc>
          <w:tcPr>
            <w:tcW w:type="dxa" w:w="194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Approval status</w:t>
            </w:r>
          </w:p>
        </w:tc>
        <w:tc>
          <w:tcPr>
            <w:tcW w:type="dxa" w:w="856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For a service that may require approval: written authorization attached, pending, or unavailable. State if you do not know the authorized contact.</w:t>
            </w:r>
          </w:p>
        </w:tc>
      </w:tr>
    </w:tbl>
    <w:p>
      <w:pPr>
        <w:spacing w:after="0"/>
      </w:pPr>
    </w:p>
    <w:p>
      <w:r>
        <w:br w:type="page"/>
      </w:r>
    </w:p>
    <w:p>
      <w:pPr>
        <w:pStyle w:val="Heading1"/>
        <w:spacing w:before="120" w:after="60"/>
      </w:pPr>
      <w:r>
        <w:t>3. Receipt, response, updates, closure, and escalation</w:t>
      </w:r>
    </w:p>
    <w:tbl>
      <w:tblPr>
        <w:tblStyle w:val="TableGrid"/>
        <w:tblW w:type="auto" w:w="0"/>
        <w:jc w:val="center"/>
        <w:tblLook w:firstColumn="1" w:firstRow="1" w:lastColumn="0" w:lastRow="0" w:noHBand="0" w:noVBand="1" w:val="04A0"/>
      </w:tblPr>
      <w:tblGrid>
        <w:gridCol w:w="5328"/>
        <w:gridCol w:w="5328"/>
      </w:tblGrid>
      <w:tr>
        <w:tc>
          <w:tcPr>
            <w:tcW w:type="dxa" w:w="1944"/>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Stage</w:t>
            </w:r>
          </w:p>
        </w:tc>
        <w:tc>
          <w:tcPr>
            <w:tcW w:type="dxa" w:w="8568"/>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What you should receive / do</w:t>
            </w:r>
          </w:p>
        </w:tc>
      </w:tr>
      <w:tr>
        <w:tc>
          <w:tcPr>
            <w:tcW w:type="dxa" w:w="194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Receipt &amp; triage</w:t>
            </w:r>
          </w:p>
        </w:tc>
        <w:tc>
          <w:tcPr>
            <w:tcW w:type="dxa" w:w="856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 successful submission receives an acknowledgement with ticket/reference, receipt confirmation, and the priority accepted by the property team. The team communicates an initial response or next-update commitment; this is an operating communication, not a contractual service guarantee.</w:t>
            </w:r>
          </w:p>
        </w:tc>
      </w:tr>
      <w:tr>
        <w:tc>
          <w:tcPr>
            <w:tcW w:type="dxa" w:w="194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Work status</w:t>
            </w:r>
          </w:p>
        </w:tc>
        <w:tc>
          <w:tcPr>
            <w:tcW w:type="dxa" w:w="856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Property service/management coordinates receipt, triage, tracking, and communication. Updates are provided when priority, access, authorization, estimated timing, or work plan materially changes. Engineering provides technical assessment, safe response, access coordination, and work-status input.</w:t>
            </w:r>
          </w:p>
        </w:tc>
      </w:tr>
      <w:tr>
        <w:tc>
          <w:tcPr>
            <w:tcW w:type="dxa" w:w="194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Add to an open ticket</w:t>
            </w:r>
          </w:p>
        </w:tc>
        <w:tc>
          <w:tcPr>
            <w:tcW w:type="dxa" w:w="856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Use the existing ticket/reference for new facts, access changes, or a worsening condition. Do not start a separate unrelated request.</w:t>
            </w:r>
          </w:p>
        </w:tc>
      </w:tr>
      <w:tr>
        <w:tc>
          <w:tcPr>
            <w:tcW w:type="dxa" w:w="194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Closure</w:t>
            </w:r>
          </w:p>
        </w:tc>
        <w:tc>
          <w:tcPr>
            <w:tcW w:type="dxa" w:w="856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You receive what was done or observed and any remaining tenant action, monitoring, or follow-up. If unresolved, recurring, or closed incorrectly, contact [SERVICE COORDINATION CONTACT] with the ticket to reopen/escalate the same record.</w:t>
            </w:r>
          </w:p>
        </w:tc>
      </w:tr>
    </w:tbl>
    <w:p>
      <w:pPr>
        <w:spacing w:after="0"/>
      </w:pPr>
    </w:p>
    <w:p>
      <w:pPr>
        <w:pStyle w:val="Heading1"/>
        <w:spacing w:before="120" w:after="60"/>
      </w:pPr>
      <w:r>
        <w:t>Escalate by issue state — preserve the record</w:t>
      </w:r>
    </w:p>
    <w:tbl>
      <w:tblPr>
        <w:tblStyle w:val="TableGrid"/>
        <w:tblW w:type="auto" w:w="0"/>
        <w:jc w:val="center"/>
        <w:tblLook w:firstColumn="1" w:firstRow="1" w:lastColumn="0" w:lastRow="0" w:noHBand="0" w:noVBand="1" w:val="04A0"/>
      </w:tblPr>
      <w:tblGrid>
        <w:gridCol w:w="5328"/>
        <w:gridCol w:w="5328"/>
      </w:tblGrid>
      <w:tr>
        <w:tc>
          <w:tcPr>
            <w:tcW w:type="dxa" w:w="2592"/>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Situation</w:t>
            </w:r>
          </w:p>
        </w:tc>
        <w:tc>
          <w:tcPr>
            <w:tcW w:type="dxa" w:w="7920"/>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Next action</w:t>
            </w:r>
          </w:p>
        </w:tc>
      </w:tr>
      <w:tr>
        <w:tc>
          <w:tcPr>
            <w:tcW w:type="dxa" w:w="259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Emergency</w:t>
            </w:r>
          </w:p>
        </w:tc>
        <w:tc>
          <w:tcPr>
            <w:tcW w:type="dxa" w:w="7920"/>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Emergency services/on-site action first. Then [ON-CALL SERVICE NUMBER] when safe. Record the ticket/reference or the time and failed contact attempts so the property record can be connected afterward.</w:t>
            </w:r>
          </w:p>
        </w:tc>
      </w:tr>
      <w:tr>
        <w:tc>
          <w:tcPr>
            <w:tcW w:type="dxa" w:w="259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Urgent not acknowledged / condition worsens</w:t>
            </w:r>
          </w:p>
        </w:tc>
        <w:tc>
          <w:tcPr>
            <w:tcW w:type="dxa" w:w="7920"/>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Call [ON-CALL SERVICE NUMBER] and give the ticket plus changes and failed attempts. If it becomes an immediate threat, use the Emergency path immediately—do not wait for a property response.</w:t>
            </w:r>
          </w:p>
        </w:tc>
      </w:tr>
      <w:tr>
        <w:tc>
          <w:tcPr>
            <w:tcW w:type="dxa" w:w="259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Routine commitment missed</w:t>
            </w:r>
          </w:p>
        </w:tc>
        <w:tc>
          <w:tcPr>
            <w:tcW w:type="dxa" w:w="7920"/>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Contact [SERVICE COORDINATION CONTACT] with the ticket, communicated next-update commitment, and new information. If still unresolved, service coordination routes to property management.</w:t>
            </w:r>
          </w:p>
        </w:tc>
      </w:tr>
      <w:tr>
        <w:tc>
          <w:tcPr>
            <w:tcW w:type="dxa" w:w="259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Material recurring process issue</w:t>
            </w:r>
          </w:p>
        </w:tc>
        <w:tc>
          <w:tcPr>
            <w:tcW w:type="dxa" w:w="7920"/>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Property management handles unresolved exceptions. The asset director receives material recurring process issues through management; the asset director is not the routine work-order contact.</w:t>
            </w:r>
          </w:p>
        </w:tc>
      </w:tr>
    </w:tbl>
    <w:p>
      <w:pPr>
        <w:spacing w:after="0"/>
      </w:pPr>
    </w:p>
    <w:p>
      <w:pPr>
        <w:pStyle w:val="Heading1"/>
        <w:spacing w:before="120" w:after="60"/>
      </w:pPr>
      <w:r>
        <w:t>When a step fails</w:t>
      </w:r>
    </w:p>
    <w:tbl>
      <w:tblPr>
        <w:tblStyle w:val="TableGrid"/>
        <w:tblW w:type="auto" w:w="0"/>
        <w:jc w:val="center"/>
        <w:tblLook w:firstColumn="1" w:firstRow="1" w:lastColumn="0" w:lastRow="0" w:noHBand="0" w:noVBand="1" w:val="04A0"/>
      </w:tblPr>
      <w:tblGrid>
        <w:gridCol w:w="5328"/>
        <w:gridCol w:w="5328"/>
      </w:tblGrid>
      <w:tr>
        <w:tc>
          <w:tcPr>
            <w:tcW w:type="dxa" w:w="2592"/>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Failure</w:t>
            </w:r>
          </w:p>
        </w:tc>
        <w:tc>
          <w:tcPr>
            <w:tcW w:type="dxa" w:w="7920"/>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How the request continues</w:t>
            </w:r>
          </w:p>
        </w:tc>
      </w:tr>
      <w:tr>
        <w:tc>
          <w:tcPr>
            <w:tcW w:type="dxa" w:w="259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Engineer cannot enter</w:t>
            </w:r>
          </w:p>
        </w:tc>
        <w:tc>
          <w:tcPr>
            <w:tcW w:type="dxa" w:w="7920"/>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Service team keeps the ticket open, tells the requester/authorized contact, records the failed visit, and coordinates alternate access, escort, advance notice, or rescheduling.</w:t>
            </w:r>
          </w:p>
        </w:tc>
      </w:tr>
      <w:tr>
        <w:tc>
          <w:tcPr>
            <w:tcW w:type="dxa" w:w="259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Requester/contact unreachable</w:t>
            </w:r>
          </w:p>
        </w:tc>
        <w:tc>
          <w:tcPr>
            <w:tcW w:type="dxa" w:w="7920"/>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Service team tries the reliable callback and authorized contact and records attempts. Safe non-emergency work may be deferred pending clarification; protective or emergency action is not delayed when needed.</w:t>
            </w:r>
          </w:p>
        </w:tc>
      </w:tr>
      <w:tr>
        <w:tc>
          <w:tcPr>
            <w:tcW w:type="dxa" w:w="259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Request incomplete</w:t>
            </w:r>
          </w:p>
        </w:tc>
        <w:tc>
          <w:tcPr>
            <w:tcW w:type="dxa" w:w="7920"/>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Service team acknowledges and marks the ticket “clarification needed,” then seeks missing facts. It does not silently reject the request or dispatch on unsupported assumptions; safety-critical facts are acted on first.</w:t>
            </w:r>
          </w:p>
        </w:tc>
      </w:tr>
      <w:tr>
        <w:tc>
          <w:tcPr>
            <w:tcW w:type="dxa" w:w="259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Unknown approver</w:t>
            </w:r>
          </w:p>
        </w:tc>
        <w:tc>
          <w:tcPr>
            <w:tcW w:type="dxa" w:w="7920"/>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State this in the ticket. Service coordination verifies the tenant’s designated contact or directs the tenant to identify one; do not assume a submitter is authorized.</w:t>
            </w:r>
          </w:p>
        </w:tc>
      </w:tr>
    </w:tbl>
    <w:p>
      <w:pPr>
        <w:spacing w:after="0"/>
      </w:pPr>
    </w:p>
    <w:p>
      <w:r>
        <w:br w:type="page"/>
      </w:r>
    </w:p>
    <w:p>
      <w:pPr>
        <w:pStyle w:val="Heading1"/>
        <w:spacing w:before="120" w:after="60"/>
      </w:pPr>
      <w:r>
        <w:t>4. After-hours HVAC, authorization, and charge visibility</w:t>
      </w:r>
    </w:p>
    <w:p>
      <w:pPr>
        <w:spacing w:after="60" w:line="240" w:lineRule="auto"/>
      </w:pPr>
      <w:r>
        <w:t>After-hours always means outside Monday–Friday, 7:00 a.m.–6:00 p.m. building staffed hours. Your practice schedule does not change this definition. For tenant-requested after-hours HVAC, report through [ON-CALL SERVICE NUMBER] and provide building, suite, exact area, requested timeframe, access/contact details, and authorization status.</w:t>
      </w:r>
    </w:p>
    <w:tbl>
      <w:tblPr>
        <w:tblStyle w:val="TableGrid"/>
        <w:tblW w:type="auto" w:w="0"/>
        <w:jc w:val="center"/>
        <w:tblLook w:firstColumn="1" w:firstRow="1" w:lastColumn="0" w:lastRow="0" w:noHBand="0" w:noVBand="1" w:val="04A0"/>
      </w:tblPr>
      <w:tblGrid>
        <w:gridCol w:w="3552"/>
        <w:gridCol w:w="3552"/>
        <w:gridCol w:w="3552"/>
      </w:tblGrid>
      <w:tr>
        <w:tc>
          <w:tcPr>
            <w:tcW w:type="dxa" w:w="1944"/>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Request period</w:t>
            </w:r>
          </w:p>
        </w:tc>
        <w:tc>
          <w:tcPr>
            <w:tcW w:type="dxa" w:w="4032"/>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Approval rule</w:t>
            </w:r>
          </w:p>
        </w:tc>
        <w:tc>
          <w:tcPr>
            <w:tcW w:type="dxa" w:w="4536"/>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What this means</w:t>
            </w:r>
          </w:p>
        </w:tc>
      </w:tr>
      <w:tr>
        <w:tc>
          <w:tcPr>
            <w:tcW w:type="dxa" w:w="1944"/>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Before July 1</w:t>
            </w:r>
          </w:p>
        </w:tc>
        <w:tc>
          <w:tcPr>
            <w:tcW w:type="dxa" w:w="403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Verbal approval was accepted for tenant-requested after-hours HVAC.</w:t>
            </w:r>
          </w:p>
        </w:tc>
        <w:tc>
          <w:tcPr>
            <w:tcW w:type="dxa" w:w="4536"/>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Record who gave verbal approval and the ticket/reference.</w:t>
            </w:r>
          </w:p>
        </w:tc>
      </w:tr>
      <w:tr>
        <w:tc>
          <w:tcPr>
            <w:tcW w:type="dxa" w:w="1944"/>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July 1 onward</w:t>
            </w:r>
          </w:p>
        </w:tc>
        <w:tc>
          <w:tcPr>
            <w:tcW w:type="dxa" w:w="403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Written approval from an authorized tenant contact is required for tenant-requested after-hours HVAC.</w:t>
            </w:r>
          </w:p>
        </w:tc>
        <w:tc>
          <w:tcPr>
            <w:tcW w:type="dxa" w:w="4536"/>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Attach or send the written approval through [AUTHORIZATION SUBMISSION METHOD]. A front-desk submitter alone cannot satisfy this requirement unless they are the authorized contact.</w:t>
            </w:r>
          </w:p>
        </w:tc>
      </w:tr>
    </w:tbl>
    <w:p>
      <w:pPr>
        <w:spacing w:after="0"/>
      </w:pPr>
    </w:p>
    <w:p>
      <w:pPr>
        <w:spacing w:after="60" w:line="240" w:lineRule="auto"/>
      </w:pPr>
      <w:r>
        <w:rPr>
          <w:b/>
        </w:rPr>
        <w:t>Transition:</w:t>
      </w:r>
      <w:r>
        <w:t xml:space="preserve"> This revision supersedes the earlier intake process on July 1. Requests already open retain their ticket; the approval rule is determined by the request period above. The service team records the applicable rule and contacts the authorized tenant contact when clarification is needed.</w:t>
      </w:r>
    </w:p>
    <w:p>
      <w:pPr>
        <w:pStyle w:val="Heading1"/>
        <w:spacing w:before="120" w:after="60"/>
      </w:pPr>
      <w:r>
        <w:t>Billing and approval—no surprises, no promises</w:t>
      </w:r>
    </w:p>
    <w:p>
      <w:pPr>
        <w:pStyle w:val="ListBullet"/>
        <w:spacing w:after="20" w:line="240" w:lineRule="auto"/>
      </w:pPr>
      <w:r>
        <w:t>The applicable lease determines whether a service is chargeable. A “potentially billable” flag prompts review; it is not a confirmed charge, final invoice, or guarantee of the ultimate amount.</w:t>
      </w:r>
    </w:p>
    <w:p>
      <w:pPr>
        <w:pStyle w:val="ListBullet"/>
        <w:spacing w:after="20" w:line="240" w:lineRule="auto"/>
      </w:pPr>
      <w:r>
        <w:t>For non-emergency potentially billable work, when cost information is available the property team communicates the available basis or estimate and required approval before work proceeds. Estimates and written authorizations are not final invoices.</w:t>
      </w:r>
    </w:p>
    <w:p>
      <w:pPr>
        <w:pStyle w:val="ListBullet"/>
        <w:spacing w:after="20" w:line="240" w:lineRule="auto"/>
      </w:pPr>
      <w:r>
        <w:t>If written authorization is pending or unavailable, the ticket remains open with a visible hold/clarification or scheduling status and the tenant is told what is blocking non-emergency work. Do not fabricate consent or abandon the request.</w:t>
      </w:r>
    </w:p>
    <w:p>
      <w:pPr>
        <w:pStyle w:val="ListBullet"/>
        <w:spacing w:after="20" w:line="240" w:lineRule="auto"/>
      </w:pPr>
      <w:r>
        <w:t>Immediate protective or emergency action is not delayed solely because billing authorization is unavailable. Chargeability is reviewed afterward under the applicable lease.</w:t>
      </w:r>
    </w:p>
    <w:p>
      <w:pPr>
        <w:pStyle w:val="ListBullet"/>
        <w:spacing w:after="20" w:line="240" w:lineRule="auto"/>
      </w:pPr>
      <w:r>
        <w:t>Only the property manager may waive a charge, and only for a documented building-caused event. Engineers and tenant-facing staff cannot promise, approve, or imply a waiver.</w:t>
      </w:r>
    </w:p>
    <w:p>
      <w:pPr>
        <w:pStyle w:val="Heading1"/>
        <w:spacing w:before="120" w:after="60"/>
      </w:pPr>
      <w:r>
        <w:t>Roles at a glance</w:t>
      </w:r>
    </w:p>
    <w:tbl>
      <w:tblPr>
        <w:tblStyle w:val="TableGrid"/>
        <w:tblW w:type="auto" w:w="0"/>
        <w:jc w:val="center"/>
        <w:tblLook w:firstColumn="1" w:firstRow="1" w:lastColumn="0" w:lastRow="0" w:noHBand="0" w:noVBand="1" w:val="04A0"/>
      </w:tblPr>
      <w:tblGrid>
        <w:gridCol w:w="5328"/>
        <w:gridCol w:w="5328"/>
      </w:tblGrid>
      <w:tr>
        <w:tc>
          <w:tcPr>
            <w:tcW w:type="dxa" w:w="2376"/>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Role</w:t>
            </w:r>
          </w:p>
        </w:tc>
        <w:tc>
          <w:tcPr>
            <w:tcW w:type="dxa" w:w="8136"/>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Responsibility / boundary</w:t>
            </w:r>
          </w:p>
        </w:tc>
      </w:tr>
      <w:tr>
        <w:tc>
          <w:tcPr>
            <w:tcW w:type="dxa" w:w="2376"/>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Practice administrator / front desk</w:t>
            </w:r>
          </w:p>
        </w:tc>
        <w:tc>
          <w:tcPr>
            <w:tcW w:type="dxa" w:w="8136"/>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Accurately report observations; classify and route; coordinate safe access; respond promptly; obtain authorization when applicable. Do not diagnose equipment, interpret leases, or promise billing outcomes.</w:t>
            </w:r>
          </w:p>
        </w:tc>
      </w:tr>
      <w:tr>
        <w:tc>
          <w:tcPr>
            <w:tcW w:type="dxa" w:w="2376"/>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Property service / management</w:t>
            </w:r>
          </w:p>
        </w:tc>
        <w:tc>
          <w:tcPr>
            <w:tcW w:type="dxa" w:w="8136"/>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Receive, triage, communicate, track, coordinate, and manage exceptions or unresolved escalation.</w:t>
            </w:r>
          </w:p>
        </w:tc>
      </w:tr>
      <w:tr>
        <w:tc>
          <w:tcPr>
            <w:tcW w:type="dxa" w:w="2376"/>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Engineering</w:t>
            </w:r>
          </w:p>
        </w:tc>
        <w:tc>
          <w:tcPr>
            <w:tcW w:type="dxa" w:w="8136"/>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Assess technically; respond/dispatch safely; coordinate access; report work status. Does not decide lease responsibility or waive charges.</w:t>
            </w:r>
          </w:p>
        </w:tc>
      </w:tr>
      <w:tr>
        <w:tc>
          <w:tcPr>
            <w:tcW w:type="dxa" w:w="2376"/>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Property manager</w:t>
            </w:r>
          </w:p>
        </w:tc>
        <w:tc>
          <w:tcPr>
            <w:tcW w:type="dxa" w:w="8136"/>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Handles permitted exception and unresolved escalation decisions; may waive only for a documented building-caused event.</w:t>
            </w:r>
          </w:p>
        </w:tc>
      </w:tr>
      <w:tr>
        <w:tc>
          <w:tcPr>
            <w:tcW w:type="dxa" w:w="2376"/>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Asset director</w:t>
            </w:r>
          </w:p>
        </w:tc>
        <w:tc>
          <w:tcPr>
            <w:tcW w:type="dxa" w:w="8136"/>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Strategic oversight of material recurring process issues through management, not ordinary ticket handling.</w:t>
            </w:r>
          </w:p>
        </w:tc>
      </w:tr>
    </w:tbl>
    <w:p>
      <w:pPr>
        <w:spacing w:after="0"/>
      </w:pPr>
    </w:p>
    <w:p>
      <w:r>
        <w:br w:type="page"/>
      </w:r>
    </w:p>
    <w:p>
      <w:pPr>
        <w:pStyle w:val="Heading1"/>
        <w:spacing w:before="120" w:after="60"/>
      </w:pPr>
      <w:r>
        <w:t>5. What changed and why it matters</w:t>
      </w:r>
    </w:p>
    <w:tbl>
      <w:tblPr>
        <w:tblStyle w:val="TableGrid"/>
        <w:tblW w:type="auto" w:w="0"/>
        <w:jc w:val="center"/>
        <w:tblLook w:firstColumn="1" w:firstRow="1" w:lastColumn="0" w:lastRow="0" w:noHBand="0" w:noVBand="1" w:val="04A0"/>
      </w:tblPr>
      <w:tblGrid>
        <w:gridCol w:w="3552"/>
        <w:gridCol w:w="3552"/>
        <w:gridCol w:w="3552"/>
      </w:tblGrid>
      <w:tr>
        <w:tc>
          <w:tcPr>
            <w:tcW w:type="dxa" w:w="2952"/>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Prior period / pain point</w:t>
            </w:r>
          </w:p>
        </w:tc>
        <w:tc>
          <w:tcPr>
            <w:tcW w:type="dxa" w:w="3888"/>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July 1 procedure</w:t>
            </w:r>
          </w:p>
        </w:tc>
        <w:tc>
          <w:tcPr>
            <w:tcW w:type="dxa" w:w="3672"/>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5"/>
              </w:rPr>
              <w:t>Practical effect</w:t>
            </w:r>
          </w:p>
        </w:tc>
      </w:tr>
      <w:tr>
        <w:tc>
          <w:tcPr>
            <w:tcW w:type="dxa" w:w="295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 phone report could lead to a separate portal entry for the same issue.</w:t>
            </w:r>
          </w:p>
        </w:tc>
        <w:tc>
          <w:tcPr>
            <w:tcW w:type="dxa" w:w="388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One primary portal route during staffed hours; a fallback caller receives/links one ticket. Add later information using the same reference.</w:t>
            </w:r>
          </w:p>
        </w:tc>
        <w:tc>
          <w:tcPr>
            <w:tcW w:type="dxa" w:w="367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Less duplicate entry while retaining a complete record for dispatch, updates, escalation, and closure.</w:t>
            </w:r>
          </w:p>
        </w:tc>
      </w:tr>
      <w:tr>
        <w:tc>
          <w:tcPr>
            <w:tcW w:type="dxa" w:w="295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“Urgent” could mean immediate danger or a same-day patient-operation problem.</w:t>
            </w:r>
          </w:p>
        </w:tc>
        <w:tc>
          <w:tcPr>
            <w:tcW w:type="dxa" w:w="388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Emergency = immediate threat; Urgent = non-life-safety, same-day patient-operation impact; Routine = normal scheduling.</w:t>
            </w:r>
          </w:p>
        </w:tc>
        <w:tc>
          <w:tcPr>
            <w:tcW w:type="dxa" w:w="367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Front-desk staff can choose a safe path quickly without changing engineering dispatch priorities.</w:t>
            </w:r>
          </w:p>
        </w:tc>
      </w:tr>
      <w:tr>
        <w:tc>
          <w:tcPr>
            <w:tcW w:type="dxa" w:w="295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After-hours HVAC approval could be verbal before July 1.</w:t>
            </w:r>
          </w:p>
        </w:tc>
        <w:tc>
          <w:tcPr>
            <w:tcW w:type="dxa" w:w="388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From July 1, written approval from an authorized tenant contact is required for tenant-requested after-hours HVAC.</w:t>
            </w:r>
          </w:p>
        </w:tc>
        <w:tc>
          <w:tcPr>
            <w:tcW w:type="dxa" w:w="367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The tenant knows the authorization needed before non-emergency HVAC proceeds and can avoid delay.</w:t>
            </w:r>
          </w:p>
        </w:tc>
      </w:tr>
      <w:tr>
        <w:tc>
          <w:tcPr>
            <w:tcW w:type="dxa" w:w="295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Tenants lacked clarity about potential charges.</w:t>
            </w:r>
          </w:p>
        </w:tc>
        <w:tc>
          <w:tcPr>
            <w:tcW w:type="dxa" w:w="3888"/>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Potential chargeability is flagged for lease review; available basis/estimate and required approval are communicated before non-emergency potentially billable work.</w:t>
            </w:r>
          </w:p>
        </w:tc>
        <w:tc>
          <w:tcPr>
            <w:tcW w:type="dxa" w:w="367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5"/>
              </w:rPr>
              <w:t>Better visibility without inventing fees or treating a request, estimate, or dispatch as a final bill.</w:t>
            </w:r>
          </w:p>
        </w:tc>
      </w:tr>
      <w:tr>
        <w:tc>
          <w:tcPr>
            <w:tcW w:type="dxa" w:w="295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Failure assumed a working portal, reachable contact, and available access.</w:t>
            </w:r>
          </w:p>
        </w:tc>
        <w:tc>
          <w:tcPr>
            <w:tcW w:type="dxa" w:w="3888"/>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Conspicuous continuation paths cover portal outage, failed access, unreachable contact, incomplete intake, and missing authorization.</w:t>
            </w:r>
          </w:p>
        </w:tc>
        <w:tc>
          <w:tcPr>
            <w:tcW w:type="dxa" w:w="367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5"/>
              </w:rPr>
              <w:t>Requests stay traceable and safety response is never trapped behind a failed administrative step.</w:t>
            </w:r>
          </w:p>
        </w:tc>
      </w:tr>
    </w:tbl>
    <w:p>
      <w:pPr>
        <w:spacing w:after="0"/>
      </w:pPr>
    </w:p>
    <w:p>
      <w:pPr>
        <w:pStyle w:val="Heading1"/>
        <w:spacing w:before="120" w:after="60"/>
      </w:pPr>
      <w:r>
        <w:t>Local contacts and controlled fields</w:t>
      </w:r>
    </w:p>
    <w:p>
      <w:pPr>
        <w:spacing w:after="60" w:line="240" w:lineRule="auto"/>
      </w:pPr>
      <w:r>
        <w:t>Complete these editable fields locally. Do not replace them with unverified details.</w:t>
      </w:r>
    </w:p>
    <w:tbl>
      <w:tblPr>
        <w:tblStyle w:val="TableGrid"/>
        <w:tblW w:type="auto" w:w="0"/>
        <w:jc w:val="center"/>
        <w:tblLook w:firstColumn="1" w:firstRow="1" w:lastColumn="0" w:lastRow="0" w:noHBand="0" w:noVBand="1" w:val="04A0"/>
      </w:tblPr>
      <w:tblGrid>
        <w:gridCol w:w="5328"/>
        <w:gridCol w:w="5328"/>
      </w:tblGrid>
      <w:tr>
        <w:tc>
          <w:tcPr>
            <w:tcW w:type="dxa" w:w="4032"/>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6"/>
              </w:rPr>
              <w:t>Function</w:t>
            </w:r>
          </w:p>
        </w:tc>
        <w:tc>
          <w:tcPr>
            <w:tcW w:type="dxa" w:w="6480"/>
            <w:shd w:fill="1F4E79"/>
            <w:vAlign w:val="center"/>
            <w:tcBorders>
              <w:top w:val="single" w:sz="4" w:color="D7DEE5"/>
              <w:left w:val="single" w:sz="4" w:color="D7DEE5"/>
              <w:bottom w:val="single" w:sz="4" w:color="D7DEE5"/>
              <w:right w:val="single" w:sz="4" w:color="D7DEE5"/>
            </w:tcBorders>
          </w:tcPr>
          <w:p>
            <w:pPr>
              <w:spacing w:after="20"/>
            </w:pPr>
            <w:r/>
            <w:r>
              <w:rPr>
                <w:rFonts w:ascii="Aptos" w:hAnsi="Aptos"/>
                <w:b/>
                <w:color w:val="FFFFFF"/>
                <w:sz w:val="16"/>
              </w:rPr>
              <w:t>Local field</w:t>
            </w:r>
          </w:p>
        </w:tc>
      </w:tr>
      <w:tr>
        <w:tc>
          <w:tcPr>
            <w:tcW w:type="dxa" w:w="403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6"/>
              </w:rPr>
              <w:t>Primary staffed-hours portal</w:t>
            </w:r>
          </w:p>
        </w:tc>
        <w:tc>
          <w:tcPr>
            <w:tcW w:type="dxa" w:w="6480"/>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6"/>
              </w:rPr>
              <w:t>[SERVICE REQUEST PORTAL / URL]</w:t>
            </w:r>
          </w:p>
        </w:tc>
      </w:tr>
      <w:tr>
        <w:tc>
          <w:tcPr>
            <w:tcW w:type="dxa" w:w="403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6"/>
              </w:rPr>
              <w:t>Service coordination / routine escalation</w:t>
            </w:r>
          </w:p>
        </w:tc>
        <w:tc>
          <w:tcPr>
            <w:tcW w:type="dxa" w:w="6480"/>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6"/>
              </w:rPr>
              <w:t>[SERVICE COORDINATION CONTACT / EMAIL]</w:t>
            </w:r>
          </w:p>
        </w:tc>
      </w:tr>
      <w:tr>
        <w:tc>
          <w:tcPr>
            <w:tcW w:type="dxa" w:w="403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6"/>
              </w:rPr>
              <w:t>After-hours urgent or property record after emergency</w:t>
            </w:r>
          </w:p>
        </w:tc>
        <w:tc>
          <w:tcPr>
            <w:tcW w:type="dxa" w:w="6480"/>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6"/>
              </w:rPr>
              <w:t>[ON-CALL SERVICE NUMBER]</w:t>
            </w:r>
          </w:p>
        </w:tc>
      </w:tr>
      <w:tr>
        <w:tc>
          <w:tcPr>
            <w:tcW w:type="dxa" w:w="4032"/>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6"/>
              </w:rPr>
              <w:t>Written HVAC authorization delivery</w:t>
            </w:r>
          </w:p>
        </w:tc>
        <w:tc>
          <w:tcPr>
            <w:tcW w:type="dxa" w:w="6480"/>
            <w:vAlign w:val="center"/>
            <w:tcBorders>
              <w:top w:val="single" w:sz="4" w:color="D7DEE5"/>
              <w:left w:val="single" w:sz="4" w:color="D7DEE5"/>
              <w:bottom w:val="single" w:sz="4" w:color="D7DEE5"/>
              <w:right w:val="single" w:sz="4" w:color="D7DEE5"/>
            </w:tcBorders>
            <w:shd w:fill="F4F7FA"/>
          </w:tcPr>
          <w:p>
            <w:pPr>
              <w:spacing w:after="20"/>
            </w:pPr>
            <w:r/>
            <w:r>
              <w:rPr>
                <w:rFonts w:ascii="Aptos" w:hAnsi="Aptos"/>
                <w:b w:val="0"/>
                <w:sz w:val="16"/>
              </w:rPr>
              <w:t>[AUTHORIZATION SUBMISSION METHOD]</w:t>
            </w:r>
          </w:p>
        </w:tc>
      </w:tr>
      <w:tr>
        <w:tc>
          <w:tcPr>
            <w:tcW w:type="dxa" w:w="4032"/>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6"/>
              </w:rPr>
              <w:t>On-site emergency action reference</w:t>
            </w:r>
          </w:p>
        </w:tc>
        <w:tc>
          <w:tcPr>
            <w:tcW w:type="dxa" w:w="6480"/>
            <w:vAlign w:val="center"/>
            <w:tcBorders>
              <w:top w:val="single" w:sz="4" w:color="D7DEE5"/>
              <w:left w:val="single" w:sz="4" w:color="D7DEE5"/>
              <w:bottom w:val="single" w:sz="4" w:color="D7DEE5"/>
              <w:right w:val="single" w:sz="4" w:color="D7DEE5"/>
            </w:tcBorders>
          </w:tcPr>
          <w:p>
            <w:pPr>
              <w:spacing w:after="20"/>
            </w:pPr>
            <w:r/>
            <w:r>
              <w:rPr>
                <w:rFonts w:ascii="Aptos" w:hAnsi="Aptos"/>
                <w:b w:val="0"/>
                <w:sz w:val="16"/>
              </w:rPr>
              <w:t>[APPLICABLE ON-SITE EMERGENCY ACTION]</w:t>
            </w:r>
          </w:p>
        </w:tc>
      </w:tr>
    </w:tbl>
    <w:p>
      <w:pPr>
        <w:spacing w:after="0"/>
      </w:pPr>
    </w:p>
    <w:p>
      <w:pPr>
        <w:pStyle w:val="Heading1"/>
        <w:spacing w:before="120" w:after="60"/>
      </w:pPr>
      <w:r>
        <w:t>Reader check</w:t>
      </w:r>
    </w:p>
    <w:p>
      <w:pPr>
        <w:spacing w:after="60" w:line="240" w:lineRule="auto"/>
      </w:pPr>
      <w:r>
        <w:t>Before submitting: (1) choose Emergency, Urgent, or Routine; (2) use the matching channel; (3) give location, observations, timing, impact, contact, access, and approval status; (4) save the ticket; (5) use that ticket for every update or escalation. If the condition becomes dangerous, switch immediately to the Emergency path.</w:t>
      </w:r>
    </w:p>
    <w:sectPr w:rsidR="00FC693F" w:rsidRPr="0006063C" w:rsidSect="00034616">
      <w:headerReference w:type="default" r:id="rId9"/>
      <w:footerReference w:type="default" r:id="rId10"/>
      <w:pgSz w:w="12240" w:h="15840"/>
      <w:pgMar w:top="648"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Controlled copy — verify local contact fields before posting  |  Rev.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4"/>
      </w:rPr>
      <w:t>HIGHMARSH FIELD SERVICES  |  ALDER POINT MEDICAL PLAZA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Alder Point Medical Plaza Tenant Service-Request and Escalation Procedure</dc:title>
  <dc:subject>Tenant operating procedure and escalation guidance</dc:subject>
  <dc:creator>Highmarsh Field Services</dc:creator>
  <cp:keywords/>
  <dc:description>Revision 2.0</dc:description>
  <cp:lastModifiedBy/>
  <cp:revision>1</cp:revision>
  <dcterms:created xsi:type="dcterms:W3CDTF">2013-12-23T23:15:00Z</dcterms:created>
  <dcterms:modified xsi:type="dcterms:W3CDTF">2013-12-23T23:15:00Z</dcterms:modified>
  <cp:category/>
</cp:coreProperties>
</file>