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2"/>
        </w:rPr>
        <w:t>TARGET FIELD-DATA ARCHITECTURE</w:t>
      </w:r>
    </w:p>
    <w:p>
      <w:pPr>
        <w:jc w:val="center"/>
      </w:pPr>
      <w:r>
        <w:rPr>
          <w:i/>
          <w:sz w:val="20"/>
        </w:rPr>
        <w:t>Sheafield Mutual remediation framework | Decision for Malachy Oyelaran and technical assurance</w:t>
      </w:r>
    </w:p>
    <w:p>
      <w:pPr>
        <w:pStyle w:val="Heading1"/>
        <w:spacing w:before="100" w:after="80"/>
      </w:pPr>
      <w:r>
        <w:t>Decision at a glance</w:t>
      </w:r>
    </w:p>
    <w:p>
      <w:pPr>
        <w:spacing w:after="80"/>
      </w:pPr>
      <w:r>
        <w:t>Approve one target: a managed field edge is the disconnected system of record. Managed and personally owned tablets are browser-only presentation/input endpoints to that local edge; they do not persist sample, location, observation or custody data. The edge synchronizes to Wrenfell central integration, which verifies the custody sequence and alone submits queued batches to Drakemoor through a maximum of two acknowledgement-held sessions.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Planning baseline</w:t>
            </w:r>
          </w:p>
        </w:tc>
        <w:tc>
          <w:tcPr>
            <w:tcW w:type="dxa" w:w="6984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Decision use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Framework / start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Four years; sampling starts 3 February 2027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First wave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12 crews, 18 sites; moves every 3–10 days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Coverage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14 sites no dependable cellular; 4 intermittent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Fleet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 managed tablets; 28 BYOD Android/iPad, not MDM-enrollable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Lab boundary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At most 2 concurrent external API sessions; held until batch acknowledgement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Delivery envelope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 integration engineers × 6 weeks; security architect 8 review days; freeze 21 Dec–5 Jan</w:t>
            </w:r>
          </w:p>
        </w:tc>
      </w:tr>
    </w:tbl>
    <w:p>
      <w:pPr>
        <w:spacing w:after="0"/>
      </w:pPr>
    </w:p>
    <w:p>
      <w:pPr>
        <w:pStyle w:val="Heading1"/>
        <w:spacing w:before="100" w:after="80"/>
      </w:pPr>
      <w:r>
        <w:t>Scope, terms and decision criteria</w:t>
      </w:r>
    </w:p>
    <w:p>
      <w:pPr>
        <w:spacing w:after="80"/>
      </w:pPr>
      <w:r>
        <w:t>Scope is field capture, custody evidence, synchronization and accepted Drakemoor receipt. Procurement and commercial renegotiation are excluded. “Operationally offline” means the crew can capture and record custody for a full shift without WAN. It does not mean data may be stored on a tablet. Under the schedule, persistent disconnected records can exist only on approved managed infrastructure, encrypted and access-logged.</w:t>
      </w:r>
    </w:p>
    <w:p>
      <w:pPr>
        <w:spacing w:after="80"/>
      </w:pPr>
      <w:r>
        <w:t>Decision criteria: preserve field work under WAN loss; keep end-user devices out of the persistence trust boundary; produce inquiry-ready, attributable custody evidence; obey the two-session laboratory agreement; and fit configuration/integration inside the stated window.</w:t>
      </w:r>
    </w:p>
    <w:p>
      <w:pPr>
        <w:pStyle w:val="Heading1"/>
        <w:spacing w:before="100" w:after="80"/>
      </w:pPr>
      <w:r>
        <w:t>Accountabilities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Accountable</w:t>
            </w:r>
          </w:p>
        </w:tc>
        <w:tc>
          <w:tcPr>
            <w:tcW w:type="dxa" w:w="6984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Decision / delivery responsibility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Malachy Oyelaran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Architecture approval, assurance gates and readiness decision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Chidi Macaulay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Field workflow acceptance and pilot custody rehearsal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Maren Guerrero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Evidence, time and integrity assurance review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Kamil Dimitrov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Drakemoor interface coordination and acknowledgement test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Cecilia Gasparyan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Programme sponsor; receives readiness outcome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Integration engineers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Configuration, central integration, queue and test evidence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00" w:after="80"/>
      </w:pPr>
      <w:r>
        <w:t>Selected target: managed-edge, browser-only field capture</w:t>
      </w:r>
    </w:p>
    <w:p>
      <w:pPr>
        <w:spacing w:after="80"/>
      </w:pPr>
      <w:r>
        <w:t>One architecture is selected. Each active field location uses the existing approved managed-edge image as managed infrastructure. Its encrypted, access-logged local store is the only disconnected store. The current browser field form is configured to use the edge over a local field network; neither managed tablets nor BYOD are a system of record, custody authority or privileged trust anchor.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376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UNMANAGED / END-USER ZONE</w:t>
            </w:r>
          </w:p>
        </w:tc>
        <w:tc>
          <w:tcPr>
            <w:tcW w:type="dxa" w:w="2664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MANAGED FIELD INFRASTRUCTURE</w:t>
            </w:r>
          </w:p>
        </w:tc>
        <w:tc>
          <w:tcPr>
            <w:tcW w:type="dxa" w:w="2664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WRENFELL CENTRAL SERVICES</w:t>
            </w:r>
          </w:p>
        </w:tc>
        <w:tc>
          <w:tcPr>
            <w:tcW w:type="dxa" w:w="2160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DRAKEMOOR SUPPLY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 managed tablets + 28 BYOD</w:t>
              <w:br/>
              <w:t>Browser input only</w:t>
              <w:br/>
              <w:t>No durable sample/custody data</w:t>
              <w:br/>
              <w:t>No master keys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Approved managed-edge image</w:t>
              <w:br/>
              <w:t>Encrypted access-logged store</w:t>
              <w:br/>
              <w:t>Validation • controlled time</w:t>
              <w:br/>
              <w:t>append-only signed/hash-chained ledger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Sync verifier + central anchor</w:t>
              <w:br/>
              <w:t>Conflict/quarantine store</w:t>
              <w:br/>
              <w:t>Durable lab queue</w:t>
              <w:br/>
              <w:t>Two bounded session workers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External API</w:t>
              <w:br/>
              <w:t>Queued batch submission</w:t>
              <w:br/>
              <w:t>Status retrieval</w:t>
              <w:br/>
              <w:t>Batch acknowledgement</w:t>
            </w:r>
          </w:p>
        </w:tc>
      </w:tr>
    </w:tbl>
    <w:p>
      <w:pPr>
        <w:spacing w:after="0"/>
      </w:pPr>
    </w:p>
    <w:p>
      <w:pPr>
        <w:spacing w:after="80"/>
      </w:pPr>
      <w:r>
        <w:t>Flow: ① actor signs into a short-lived browser session and scans/enters the stable sample identifier; ② browser sends over protected local transport to the edge; ③ edge locally accepts or rejects the record, creates custody evidence and returns status; ④ when WAN exists, edge sends idempotently to central verification; ⑤ central queues a lab batch; ⑥ one of at most two workers keeps its session allocated until acknowledgement, then records accepted receipt/status. All network boundaries use protected transport.</w:t>
      </w:r>
    </w:p>
    <w:p>
      <w:pPr>
        <w:pStyle w:val="Heading1"/>
        <w:spacing w:before="100" w:after="80"/>
      </w:pPr>
      <w:r>
        <w:t>Endpoint, identity and trust controls</w:t>
      </w:r>
    </w:p>
    <w:p>
      <w:pPr>
        <w:pStyle w:val="ListBullet"/>
        <w:spacing w:after="40"/>
        <w:ind w:left="259"/>
      </w:pPr>
      <w:r>
        <w:t>Browser configuration must disable application cache/offline storage, downloads/exports, form autofill and saved credentials; prevent persistence of temporary files where the browser/OS permits; clear session data on logout; and be validated by device inspection on managed and BYOD representatives. The edge must reject any client mode that needs local durable storage.</w:t>
      </w:r>
    </w:p>
    <w:p>
      <w:pPr>
        <w:pStyle w:val="ListBullet"/>
        <w:spacing w:after="40"/>
        <w:ind w:left="259"/>
      </w:pPr>
      <w:r>
        <w:t>BYOD is confined to an unprivileged browser role. It receives only the active screen and short-lived session; no reusable integration credential, edge administration capability, signing material or custody authority is resident solely on it. A separate authenticated actor action is recorded for each custody event; reauthenticate after configured inactivity, handover, or a device loss report.</w:t>
      </w:r>
    </w:p>
    <w:p>
      <w:pPr>
        <w:pStyle w:val="ListBullet"/>
        <w:spacing w:after="40"/>
        <w:ind w:left="259"/>
      </w:pPr>
      <w:r>
        <w:t>Edge, central service and laboratory integration use distinct least-privilege service identities. Encryption at rest applies to the edge, central evidence store, conflict/quarantine store and laboratory queue. Keys/credentials are provisioned to managed components, rotated/replaced and revocable; loss triggers revocation and recovery without putting master secrets on BYOD.</w:t>
      </w:r>
    </w:p>
    <w:p>
      <w:r>
        <w:br w:type="page"/>
      </w:r>
    </w:p>
    <w:p>
      <w:pPr>
        <w:pStyle w:val="Heading1"/>
        <w:spacing w:before="100" w:after="80"/>
      </w:pPr>
      <w:r>
        <w:t>Record, custody and time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2088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Object</w:t>
            </w:r>
          </w:p>
        </w:tc>
        <w:tc>
          <w:tcPr>
            <w:tcW w:type="dxa" w:w="7776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Required content and control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Sample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Stable capture identifier (barcode/label scan where available); never renumber at a boundary. Required field checks and format/range checks occur at edge before local acceptance.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Custody event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Stable event ID; sample ID; authenticated responsible actor; action or transfer; UTC timestamp to one-second resolution; prior-event reference; integrity value; time-confidence indicator.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Immediate vs central validation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Edge enforces required fields, permitted actions, ID shape and workflow completeness. Central checks cross-site/duplicate/conflicting states and lab schema readiness. Incomplete or central-invalid records cannot silently progress: retain in exception/quarantine with owner.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Lifecycle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Locally accepted → centrally synchronized/verified → submitted to lab → acknowledged by lab. Rejected, conflict and acknowledgement-unavailable states remain visible—not reported as success.</w:t>
            </w:r>
          </w:p>
        </w:tc>
      </w:tr>
    </w:tbl>
    <w:p>
      <w:pPr>
        <w:spacing w:after="0"/>
      </w:pPr>
    </w:p>
    <w:p>
      <w:pPr>
        <w:pStyle w:val="Heading1"/>
        <w:spacing w:before="100" w:after="80"/>
      </w:pPr>
      <w:r>
        <w:t>Trusted time and tamper evidence</w:t>
      </w:r>
    </w:p>
    <w:p>
      <w:pPr>
        <w:spacing w:after="80"/>
      </w:pPr>
      <w:r>
        <w:t>The managed edge—not the tablet clock—stamps event time in UTC at one-second resolution. Before departure and whenever service is available, the edge obtains a controlled time reference and records its time-confidence/drift state. During a WAN outage it continues from that controlled local basis; if confidence is degraded or a permitted drift bound is exceeded, it records the uncertainty, alerts the field workflow and requires controlled reconciliation. Upload time never replaces original event time.</w:t>
      </w:r>
    </w:p>
    <w:p>
      <w:pPr>
        <w:spacing w:after="80"/>
      </w:pPr>
      <w:r>
        <w:t>Before reconnection, the edge appends each custody event to an append-only sequence linked to its predecessor and protected with edge-held signing/integrity material. Central synchronization verifies sequence continuity and integrity, retains the original history, and independently anchors the verified sequence/receipt. This makes later alteration or deletion detectable; it does not prove an observation was true, physical possession occurred as asserted, or an authorized actor did not misuse credentials.</w:t>
      </w:r>
    </w:p>
    <w:p>
      <w:pPr>
        <w:pStyle w:val="Heading1"/>
        <w:spacing w:before="100" w:after="80"/>
      </w:pPr>
      <w:r>
        <w:t>Synchronization, conflicts and evidence export</w:t>
      </w:r>
    </w:p>
    <w:p>
      <w:pPr>
        <w:spacing w:after="80"/>
      </w:pPr>
      <w:r>
        <w:t>Each sample, event and synchronization envelope has a stable identifier. The edge retries safely after a timeout; central acknowledgement is keyed to those identifiers so retransmission converges on one logical sample and one custody sequence. Non-mergeable versions, sequence breaks, rejected updates and schema failures preserve both evidence and enter controlled conflict/quarantine resolution—never last-write-wins. Evidence export packages the custody history, integrity/anchor verification, sync receipts, time-confidence records, laboratory statuses and exception-resolution trail for inquiry without relying on a field device.</w:t>
      </w:r>
    </w:p>
    <w:p>
      <w:r>
        <w:br w:type="page"/>
      </w:r>
    </w:p>
    <w:p>
      <w:pPr>
        <w:pStyle w:val="Heading1"/>
        <w:spacing w:before="100" w:after="80"/>
      </w:pPr>
      <w:r>
        <w:t>Laboratory control and operational failure behavior</w:t>
      </w:r>
    </w:p>
    <w:p>
      <w:pPr>
        <w:spacing w:after="80"/>
      </w:pPr>
      <w:r>
        <w:t>Central integration owns every Drakemoor connection. A durable central queue applies back-pressure so accepted field records remain controlled while the laboratory is slow or unavailable. Exactly two bounded workers may hold external sessions; a worker does not release capacity when it transmits a batch, only when the matching acknowledgement/status settles the batch. This topology prevents 12 crews from creating concurrent external API sessions.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Condition</w:t>
            </w:r>
          </w:p>
        </w:tc>
        <w:tc>
          <w:tcPr>
            <w:tcW w:type="dxa" w:w="6984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Required behavior / accountable owner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WAN through full shift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Edge continues local acceptance, ledger and local status; browser remains non-persistent. Synchronization waits. Field lead follows custody procedure.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WAN returns / sync timeout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Retry idempotently; central verifies sequence and anchors it. Uncertain receipt stays “locally accepted” or “synchronized” until confirmed. Integration engineers monitor exceptions.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Delayed/unavailable lab acknowledgement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Batch remains queued/submitted; its worker session stays occupied until acknowledgement. Other work is buffered, never represented as accepted. Kamil coordinates interface response.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Lab schema/validation failure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Central retains payload and receipt evidence in quarantine; named integration engineer resolves with Kamil, then submits a controlled corrected/referenced update.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Integrity, time-confidence or conflict failure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Stop automatic progression; preserve original sequence and exception evidence. Maren directs evidence disposition; Malachy accepts/rejects readiness impact.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Lost BYOD or crew handover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Revoke browser session; actor reauthenticates on an available endpoint. No durable field record or master secret is recovered from the BYOD device.</w:t>
            </w:r>
          </w:p>
        </w:tc>
      </w:tr>
    </w:tbl>
    <w:p>
      <w:pPr>
        <w:spacing w:after="0"/>
      </w:pPr>
    </w:p>
    <w:p>
      <w:pPr>
        <w:pStyle w:val="Heading1"/>
        <w:spacing w:before="100" w:after="80"/>
      </w:pPr>
      <w:r>
        <w:t>Projected outcomes and explicit limits</w:t>
      </w:r>
    </w:p>
    <w:p>
      <w:pPr>
        <w:spacing w:after="80"/>
      </w:pPr>
      <w:r>
        <w:t>Under the supplied coverage assumption, a crew can record a normal full disconnected shift at the managed edge, later obtaining verified central synchronization and then a distinct laboratory-acknowledged state. Under prolonged WAN loss, records remain locally accepted and inquiry evidence remains at the managed edge; central/lab status is delayed, not inferred. Under delayed lab acknowledgement, the central queue retains work and the two occupied sessions constrain dispatch; field capture continues independently. These are behavioral projections, not throughput or availability commitments.</w:t>
      </w:r>
    </w:p>
    <w:p>
      <w:pPr>
        <w:spacing w:after="80"/>
      </w:pPr>
      <w:r>
        <w:t>Uncertainty to resolve during assurance: permitted managed-edge time-confidence/drift threshold, browser controls achievable on the actual BYOD variants, and Drakemoor’s exact response/error examples. These are validation inputs, not alternate target architectures or vendor commitments.</w:t>
      </w:r>
    </w:p>
    <w:p>
      <w:r>
        <w:br w:type="page"/>
      </w:r>
    </w:p>
    <w:p>
      <w:pPr>
        <w:pStyle w:val="Heading1"/>
        <w:spacing w:before="100" w:after="80"/>
      </w:pPr>
      <w:r>
        <w:t>Designs set aside — not part of the target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3240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Set-aside design</w:t>
            </w:r>
          </w:p>
        </w:tc>
        <w:tc>
          <w:tcPr>
            <w:tcW w:type="dxa" w:w="6624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Why it is not carried forward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Cloud-only browser capture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Requires live WAN to record the field event; incompatible with 14 sites without dependable coverage, four intermittent sites, and full-shift disconnected operation.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Direct tablet-to-lab / per-crew connections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Cecilia’s simplification preference conflicts with a limit of two concurrent external API sessions for 12 crews. Sessions remain occupied until batch acknowledgement, so individual connections are neither licensed nor controllable.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Offline-first native tablet application with durable local store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Conflicts with the policy prohibition on identifiers, locations, observations and custody records at rest on end-user devices. A new native cross-platform build is also estimated beyond available delivery capacity before validation.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Treating BYOD as managed infrastructure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BYOD cannot join Wrenfell MDM and cannot inherit privileged trust, durable storage or custody authority.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Central receipt as the only custody evidence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 later receipt cannot explain disconnected possession or preserve event-time integrity during the outage.</w:t>
            </w:r>
          </w:p>
        </w:tc>
      </w:tr>
    </w:tbl>
    <w:p>
      <w:pPr>
        <w:spacing w:after="0"/>
      </w:pPr>
    </w:p>
    <w:p>
      <w:pPr>
        <w:pStyle w:val="Heading1"/>
        <w:spacing w:before="100" w:after="80"/>
      </w:pPr>
      <w:r>
        <w:t>Constraint-to-target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3240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Material source constraint</w:t>
            </w:r>
          </w:p>
        </w:tc>
        <w:tc>
          <w:tcPr>
            <w:tcW w:type="dxa" w:w="6624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Target response / stated limitation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WAN loss; full shift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Managed edge holds encrypted records and ledger; endpoint browser does not.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data at rest on end-user device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Persistence only in approved edge/central stores; cache/download/autofill/temp-path controls tested.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Mixed 20 managed / 28 BYOD fleet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All are browser endpoints; BYOD has unprivileged, short-lived access only.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Custody/inquiry and UTC seconds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Edge creates actor/action/sample/time evidence, chained before WAN; time confidence is recorded.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Two lab sessions, acknowledgement-held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Central durable queue and no-more-than-two workers; submitted is distinct from acknowledged.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12 engineer-weeks; 8 review days; freeze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Configure existing browser form and approved edge, then integrate/test around freeze; no greenfield native build.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Limit of integrity claim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Detects sequence alteration/deletion; does not prove factual truth or prevent authorised credential misuse.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00" w:after="80"/>
      </w:pPr>
      <w:r>
        <w:t>Delivery roadmap to mobilisation</w:t>
      </w:r>
    </w:p>
    <w:p>
      <w:pPr>
        <w:spacing w:after="80"/>
      </w:pPr>
      <w:r>
        <w:t>The roadmap consumes no more than the available 12 integration engineer-weeks and eight security-architect review days. Dates below are planning dates derived from the fixed freeze and 3 February 2027 start; production change is not scheduled during the freeze.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1008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Dates</w:t>
            </w:r>
          </w:p>
        </w:tc>
        <w:tc>
          <w:tcPr>
            <w:tcW w:type="dxa" w:w="3600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Milestone / dependency</w:t>
            </w:r>
          </w:p>
        </w:tc>
        <w:tc>
          <w:tcPr>
            <w:tcW w:type="dxa" w:w="1512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Accountable owner</w:t>
            </w:r>
          </w:p>
        </w:tc>
        <w:tc>
          <w:tcPr>
            <w:tcW w:type="dxa" w:w="3672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Capacity / exit evidence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14–18 Dec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Assurance baseline and target specification; precedes configuration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Malachy; Maren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Security review days 1–2; target/control trace agreed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21 Dec–5 Jan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Change freeze: no production change; prepare review material only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Malachy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No deployment; open decisions logged for post-freeze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6–15 Jan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Configure browser form + approved managed edge; define IDs, ledger/time fields and local checks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Integration engineers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4 engineer-weeks; configured build ready for integration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11–20 Jan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Build central verification, idempotent sync, queue and two-session lifecycle; depends on field contract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Integration engineers; Kamil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5 engineer-weeks; interface/status evidence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18–22 Jan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Security/evidence review and remediate; depends on configured controls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Maren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Security review days 3–8; cache/storage, keys, time, ledger review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25–27 Jan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Bounded field pilot/rehearsal; depends on integration and review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Chidi; Maren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2 engineer-weeks support; pass evidence and field sign-off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28–29 Jan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Readiness / go-no-go and controlled release; depends on pilot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Malachy; Cecilia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 engineer-week support; readiness before 3 Feb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1–2 Feb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Crew briefing, operational handover and mobilisation check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Chidi; Malachy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No feature change; custody fallback confirmed</w:t>
            </w:r>
          </w:p>
        </w:tc>
      </w:tr>
    </w:tbl>
    <w:p>
      <w:pPr>
        <w:spacing w:after="0"/>
      </w:pPr>
    </w:p>
    <w:p>
      <w:pPr>
        <w:pStyle w:val="Heading1"/>
        <w:spacing w:before="100" w:after="80"/>
      </w:pPr>
      <w:r>
        <w:t>Pilot acceptance and fallback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Prove in rehearsal</w:t>
            </w:r>
          </w:p>
        </w:tc>
        <w:tc>
          <w:tcPr>
            <w:tcW w:type="dxa" w:w="6984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Observable pass evidence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Disconnected capture / no tablet persistence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Full-shift WAN simulation accepts records at edge; device inspection finds no sample/custody data in browser cache, downloads, autofill, app/temp paths or saved credentials.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Attribution, time and integrity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Actor/action/sample/UTC-second fields present; tablet clock change does not set authority; time-confidence degradation is visible; alteration/deletion breaks verification before reconnection.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Retry, conflict and lab boundary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Timeout retry creates no duplicate sample/event; non-mergeable update quarantines; concurrent dispatch never exceeds two acknowledgement-held sessions; delayed acknowledgement remains visible.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Go/no-go and fallback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Go only when all evidence passes and Malachy accepts. If not, do not release the target: use controlled existing custody procedure and retain paper/physical custody evidence for later controlled entry, preserving original dates/actors and exception record; no unverified electronic custody claim is substituted.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00" w:after="80"/>
      </w:pPr>
      <w:r>
        <w:t>Assurance release statement</w:t>
      </w:r>
    </w:p>
    <w:p>
      <w:pPr>
        <w:spacing w:after="80"/>
      </w:pPr>
      <w:r>
        <w:t>This decision deliberately uses available, approved components: configuration of the current browser field form and approved managed-edge image, plus bounded central integration. It does not assume a new product, a new vendor commitment, an extra laboratory connection, a universal device-management capability, or an unsupported performance figure. Readiness is conditional on the pilot evidence and the named reviews; the selected target does not conceal failure states behind upload or lab-submission timestamps.</w:t>
      </w:r>
    </w:p>
    <w:p>
      <w:pPr>
        <w:pStyle w:val="Heading1"/>
        <w:spacing w:before="100" w:after="80"/>
      </w:pPr>
      <w:r>
        <w:t>Architecture decision</w:t>
      </w:r>
    </w:p>
    <w:p>
      <w:pPr>
        <w:spacing w:after="80"/>
      </w:pPr>
      <w:r>
        <w:t>For the Sheafield Mutual first-wave baseline of 12 crews across 18 sites, Wrenfell will implement the managed-edge, browser-only field-data architecture described here: the approved managed edge is the encrypted, access-logged disconnected system of record and creates controlled, tamper-evident custody evidence; tablets, including BYOD, remain non-persistent unprivileged endpoints; Wrenfell central integration verifies and anchors synchronization and queues laboratory traffic through no more than two acknowledgement-held Drakemoor API sessions. This is the single target architecture for mobilisation readiness before field sampling on 3 February 2027.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49" w:right="792" w:bottom="749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Technical assurance decision  •  14 December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4"/>
      </w:rPr>
      <w:t>WRENFELL GEOENVIRONMENTAL  |  SHEAFIELD MUTUAL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