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Everstead Group — case notes</w:t>
      </w:r>
    </w:p>
    <w:p>
      <w:r>
        <w:rPr>
          <w:i/>
        </w:rPr>
        <w:t>Prepared for internal incident review  |  factual position current to 12 June 2025</w:t>
      </w:r>
    </w:p>
    <w:p>
      <w:pPr>
        <w:pStyle w:val="Heading1"/>
      </w:pPr>
      <w:r>
        <w:t>Incident summary</w:t>
      </w:r>
    </w:p>
    <w:p>
      <w:r>
        <w:t>Everstead Group reported a possible equipment diversion on 9 June 2025. The report covers 18 equipment units across three dispatch lots dated between 22 May and 4 June 2025. Eleven units have been reconciled to authorised destinations; seven remain unaccounted for. Everstead records replacement exposure of £31,800. The decision package is required by Friday, 13 June 2025.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2F3"/>
          </w:tcPr>
          <w:p>
            <w:r>
              <w:t>Dispatch lot</w:t>
            </w:r>
          </w:p>
        </w:tc>
        <w:tc>
          <w:tcPr>
            <w:tcW w:type="dxa" w:w="2541"/>
            <w:shd w:fill="D9E2F3"/>
          </w:tcPr>
          <w:p>
            <w:r>
              <w:t>Window</w:t>
            </w:r>
          </w:p>
        </w:tc>
        <w:tc>
          <w:tcPr>
            <w:tcW w:type="dxa" w:w="2541"/>
            <w:shd w:fill="D9E2F3"/>
          </w:tcPr>
          <w:p>
            <w:r>
              <w:t>Ledger observation</w:t>
            </w:r>
          </w:p>
        </w:tc>
        <w:tc>
          <w:tcPr>
            <w:tcW w:type="dxa" w:w="2541"/>
            <w:shd w:fill="D9E2F3"/>
          </w:tcPr>
          <w:p>
            <w:r>
              <w:t>Reconciliation</w:t>
            </w:r>
          </w:p>
        </w:tc>
      </w:tr>
      <w:tr>
        <w:tc>
          <w:tcPr>
            <w:tcW w:type="dxa" w:w="2541"/>
          </w:tcPr>
          <w:p>
            <w:r>
              <w:t>Lot 1</w:t>
            </w:r>
          </w:p>
        </w:tc>
        <w:tc>
          <w:tcPr>
            <w:tcW w:type="dxa" w:w="2541"/>
          </w:tcPr>
          <w:p>
            <w:r>
              <w:t>22 May 2025</w:t>
            </w:r>
          </w:p>
        </w:tc>
        <w:tc>
          <w:tcPr>
            <w:tcW w:type="dxa" w:w="2541"/>
          </w:tcPr>
          <w:p>
            <w:r>
              <w:t>Exception code: CB-EXC</w:t>
            </w:r>
          </w:p>
        </w:tc>
        <w:tc>
          <w:tcPr>
            <w:tcW w:type="dxa" w:w="2541"/>
          </w:tcPr>
          <w:p>
            <w:r>
              <w:t>authorised destinations partly confirmed</w:t>
            </w:r>
          </w:p>
        </w:tc>
      </w:tr>
      <w:tr>
        <w:tc>
          <w:tcPr>
            <w:tcW w:type="dxa" w:w="2541"/>
          </w:tcPr>
          <w:p>
            <w:r>
              <w:t>Lot 2</w:t>
            </w:r>
          </w:p>
        </w:tc>
        <w:tc>
          <w:tcPr>
            <w:tcW w:type="dxa" w:w="2541"/>
          </w:tcPr>
          <w:p>
            <w:r>
              <w:t>29 May 2025</w:t>
            </w:r>
          </w:p>
        </w:tc>
        <w:tc>
          <w:tcPr>
            <w:tcW w:type="dxa" w:w="2541"/>
          </w:tcPr>
          <w:p>
            <w:r>
              <w:t>Exception code: CB-EXC</w:t>
            </w:r>
          </w:p>
        </w:tc>
        <w:tc>
          <w:tcPr>
            <w:tcW w:type="dxa" w:w="2541"/>
          </w:tcPr>
          <w:p>
            <w:r>
              <w:t>authorised destinations partly confirmed</w:t>
            </w:r>
          </w:p>
        </w:tc>
      </w:tr>
      <w:tr>
        <w:tc>
          <w:tcPr>
            <w:tcW w:type="dxa" w:w="2541"/>
          </w:tcPr>
          <w:p>
            <w:r>
              <w:t>Lot 3</w:t>
            </w:r>
          </w:p>
        </w:tc>
        <w:tc>
          <w:tcPr>
            <w:tcW w:type="dxa" w:w="2541"/>
          </w:tcPr>
          <w:p>
            <w:r>
              <w:t>4 Jun 2025</w:t>
            </w:r>
          </w:p>
        </w:tc>
        <w:tc>
          <w:tcPr>
            <w:tcW w:type="dxa" w:w="2541"/>
          </w:tcPr>
          <w:p>
            <w:r>
              <w:t>Exception code: CB-EXC</w:t>
            </w:r>
          </w:p>
        </w:tc>
        <w:tc>
          <w:tcPr>
            <w:tcW w:type="dxa" w:w="2541"/>
          </w:tcPr>
          <w:p>
            <w:r>
              <w:t>authorised destinations partly confirmed</w:t>
            </w:r>
          </w:p>
        </w:tc>
      </w:tr>
    </w:tbl>
    <w:p>
      <w:r>
        <w:t>The last known diversion-related dispatch event is 4 June 2025. A collection-bay access permission remains active through a scheduled collection on 16 June 2025. This is a continuing operational concern; it does not establish that any person will misuse it.</w:t>
      </w:r>
    </w:p>
    <w:p>
      <w:pPr>
        <w:pStyle w:val="Heading1"/>
      </w:pPr>
      <w:r>
        <w:t>Recorded material</w:t>
      </w:r>
    </w:p>
    <w:p>
      <w:r>
        <w:t>Dispatch ledger. The same exception code appears across the three lots. The ledger does not identify who handled, redirected or received any equipment.</w:t>
      </w:r>
    </w:p>
    <w:p>
      <w:r>
        <w:t>Access log. Three staff badge events overlap relevant collection windows. The record shows access events, not handling or redirection of equipment.</w:t>
      </w:r>
    </w:p>
    <w:p>
      <w:r>
        <w:t>Interview note. A witness reports that Employee A said Employee B arranged redirection to an unapproved collection point. The witness did not see the event and cannot independently verify the account. The note is a second-hand account.</w:t>
      </w:r>
    </w:p>
    <w:p>
      <w:r>
        <w:t>Current record position. The available records do not establish a named perpetrator, a completed criminal offence by any particular person, or a basis for immediate identity disclosure.</w:t>
      </w:r>
    </w:p>
    <w:p>
      <w:pPr>
        <w:pStyle w:val="Heading1"/>
      </w:pPr>
      <w:r>
        <w:t>Stakeholder communications</w:t>
      </w:r>
    </w:p>
    <w:p>
      <w:r>
        <w:t>Email — Everstead Group to Chidi Trevelyan, 10 June, 08:41</w:t>
        <w:br/>
        <w:t>“Please send the suspected staff names quickly. We need to decide what to tell our operations lead.”</w:t>
      </w:r>
    </w:p>
    <w:p>
      <w:r>
        <w:t>Internal Teams message — Chidi Trevelyan to Karin Sheridan, 10 June, 09:06</w:t>
        <w:br/>
        <w:t>“I have told Everstead we will share suspected staff identities quickly. Please advise how we should proceed.”</w:t>
      </w:r>
    </w:p>
    <w:p>
      <w:r>
        <w:t>No record supplied here gives a disclosure authority, interview content beyond the note above, a legal power, or a client-approved identity list.</w:t>
      </w:r>
    </w:p>
    <w:p>
      <w:pPr>
        <w:pStyle w:val="Heading1"/>
      </w:pPr>
      <w:r>
        <w:t>Handling note</w:t>
      </w:r>
    </w:p>
    <w:p>
      <w:r>
        <w:t>These notes distinguish recorded observations and stakeholder positions from conclusions. They do not determine a preferred investigative course or a legal outcome.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Gallowspring Networks | Internal case notes | 12 Jun 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