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415E"/>
          <w:sz w:val="32"/>
        </w:rPr>
        <w:t>DECISION MEMORANDUM</w:t>
      </w:r>
    </w:p>
    <w:p>
      <w:pPr>
        <w:spacing w:after="140"/>
      </w:pPr>
      <w:r>
        <w:rPr>
          <w:b/>
          <w:sz w:val="26"/>
        </w:rPr>
        <w:t>Saltmarsh Energy - children's-app portfolio litigation reserve</w:t>
      </w:r>
    </w:p>
    <w:tbl>
      <w:tblPr>
        <w:tblW w:type="auto" w:w="0"/>
        <w:tblLayout w:type="fixed"/>
        <w:tblLook w:firstColumn="1" w:firstRow="1" w:lastColumn="0" w:lastRow="0" w:noHBand="0" w:noVBand="1" w:val="04A0"/>
      </w:tblPr>
      <w:tblGrid>
        <w:gridCol w:w="1800"/>
        <w:gridCol w:w="8496"/>
      </w:tblGrid>
      <w:tr>
        <w:tc>
          <w:tcPr>
            <w:tcW w:type="dxa" w:w="5227"/>
            <w:vAlign w:val="center"/>
            <w:shd w:fill="EAF0F5"/>
          </w:tcPr>
          <w:p>
            <w:pPr>
              <w:spacing w:after="0"/>
            </w:pPr>
            <w:r/>
            <w:r>
              <w:rPr>
                <w:b/>
                <w:color w:val="1F415E"/>
                <w:sz w:val="16"/>
              </w:rPr>
              <w:t>To</w:t>
            </w:r>
          </w:p>
        </w:tc>
        <w:tc>
          <w:tcPr>
            <w:tcW w:type="dxa" w:w="5227"/>
            <w:vAlign w:val="center"/>
          </w:tcPr>
          <w:p>
            <w:pPr>
              <w:spacing w:after="0"/>
            </w:pPr>
            <w:r/>
            <w:r>
              <w:rPr>
                <w:b w:val="0"/>
                <w:sz w:val="16"/>
              </w:rPr>
              <w:t>Bianca Sandoval, CFO; Juno Andersen, Product Unit</w:t>
            </w:r>
          </w:p>
        </w:tc>
      </w:tr>
      <w:tr>
        <w:tc>
          <w:tcPr>
            <w:tcW w:type="dxa" w:w="5227"/>
            <w:vAlign w:val="center"/>
            <w:shd w:fill="EAF0F5"/>
          </w:tcPr>
          <w:p>
            <w:pPr>
              <w:spacing w:after="0"/>
            </w:pPr>
            <w:r/>
            <w:r>
              <w:rPr>
                <w:b/>
                <w:color w:val="1F415E"/>
                <w:sz w:val="16"/>
              </w:rPr>
              <w:t>From</w:t>
            </w:r>
          </w:p>
        </w:tc>
        <w:tc>
          <w:tcPr>
            <w:tcW w:type="dxa" w:w="5227"/>
            <w:vAlign w:val="center"/>
          </w:tcPr>
          <w:p>
            <w:pPr>
              <w:spacing w:after="0"/>
            </w:pPr>
            <w:r/>
            <w:r>
              <w:rPr>
                <w:b w:val="0"/>
                <w:sz w:val="16"/>
              </w:rPr>
              <w:t>Meadowgate Advisory - legal counsel</w:t>
            </w:r>
          </w:p>
        </w:tc>
      </w:tr>
      <w:tr>
        <w:tc>
          <w:tcPr>
            <w:tcW w:type="dxa" w:w="5227"/>
            <w:vAlign w:val="center"/>
            <w:shd w:fill="EAF0F5"/>
          </w:tcPr>
          <w:p>
            <w:pPr>
              <w:spacing w:after="0"/>
            </w:pPr>
            <w:r/>
            <w:r>
              <w:rPr>
                <w:b/>
                <w:color w:val="1F415E"/>
                <w:sz w:val="16"/>
              </w:rPr>
              <w:t>Date</w:t>
            </w:r>
          </w:p>
        </w:tc>
        <w:tc>
          <w:tcPr>
            <w:tcW w:type="dxa" w:w="5227"/>
            <w:vAlign w:val="center"/>
          </w:tcPr>
          <w:p>
            <w:pPr>
              <w:spacing w:after="0"/>
            </w:pPr>
            <w:r/>
            <w:r>
              <w:rPr>
                <w:b w:val="0"/>
                <w:sz w:val="16"/>
              </w:rPr>
              <w:t>8 January 2025 (information cutoff: 31 December 2024)</w:t>
            </w:r>
          </w:p>
        </w:tc>
      </w:tr>
      <w:tr>
        <w:tc>
          <w:tcPr>
            <w:tcW w:type="dxa" w:w="5227"/>
            <w:vAlign w:val="center"/>
            <w:shd w:fill="EAF0F5"/>
          </w:tcPr>
          <w:p>
            <w:pPr>
              <w:spacing w:after="0"/>
            </w:pPr>
            <w:r/>
            <w:r>
              <w:rPr>
                <w:b/>
                <w:color w:val="1F415E"/>
                <w:sz w:val="16"/>
              </w:rPr>
              <w:t>Purpose</w:t>
            </w:r>
          </w:p>
        </w:tc>
        <w:tc>
          <w:tcPr>
            <w:tcW w:type="dxa" w:w="5227"/>
            <w:vAlign w:val="center"/>
          </w:tcPr>
          <w:p>
            <w:pPr>
              <w:spacing w:after="0"/>
            </w:pPr>
            <w:r/>
            <w:r>
              <w:rPr>
                <w:b w:val="0"/>
                <w:sz w:val="16"/>
              </w:rPr>
              <w:t>Year-end recognition, disclosure and planning view before auditors arrive 13 January 2025</w:t>
            </w:r>
          </w:p>
        </w:tc>
      </w:tr>
    </w:tbl>
    <w:p>
      <w:pPr>
        <w:spacing w:before="100" w:after="40"/>
      </w:pPr>
      <w:r>
        <w:rPr>
          <w:b/>
          <w:color w:val="1F415E"/>
          <w:sz w:val="22"/>
        </w:rPr>
        <w:t>Decision in one minute</w:t>
      </w:r>
    </w:p>
    <w:p>
      <w:pPr>
        <w:spacing w:after="60" w:line="245" w:lineRule="auto"/>
      </w:pPr>
      <w:r>
        <w:rPr>
          <w:sz w:val="18"/>
        </w:rPr>
        <w:t>Record $0 for this unasserted matter at 31 December 2024. Maintain a separate gross planning exposure range of $0.5 million to $3.0 million (penalties, refunds/redress and settlement value; before insurance, indemnity, tax or deductibility, and excluding unpriced compliance work). The range is a scenario bracket, not a prediction or a required balance.</w:t>
      </w:r>
    </w:p>
    <w:p>
      <w:pPr>
        <w:spacing w:after="60" w:line="245" w:lineRule="auto"/>
      </w:pPr>
      <w:r>
        <w:rPr>
          <w:sz w:val="18"/>
        </w:rPr>
        <w:t>I use “reserve” here to mean the accounting loss-contingency balance. Juno’s use - plausible cash exposure - is useful for planning but must be called exposure, not the booked reserve. The two numbers should not be netted or substituted for one another.</w:t>
      </w:r>
    </w:p>
    <w:p>
      <w:pPr>
        <w:spacing w:before="100" w:after="40"/>
      </w:pPr>
      <w:r>
        <w:rPr>
          <w:b/>
          <w:color w:val="1F415E"/>
          <w:sz w:val="22"/>
        </w:rPr>
        <w:t>Facts and year-over-year change</w:t>
      </w:r>
    </w:p>
    <w:tbl>
      <w:tblPr>
        <w:tblW w:type="auto" w:w="0"/>
        <w:tblLayout w:type="fixed"/>
        <w:tblLook w:firstColumn="1" w:firstRow="1" w:lastColumn="0" w:lastRow="0" w:noHBand="0" w:noVBand="1" w:val="04A0"/>
      </w:tblPr>
      <w:tblGrid>
        <w:gridCol w:w="1944"/>
        <w:gridCol w:w="1469"/>
        <w:gridCol w:w="1469"/>
        <w:gridCol w:w="1584"/>
        <w:gridCol w:w="4320"/>
      </w:tblGrid>
      <w:tr>
        <w:tc>
          <w:tcPr>
            <w:tcW w:type="dxa" w:w="2091"/>
            <w:vAlign w:val="center"/>
            <w:shd w:fill="1F415E"/>
          </w:tcPr>
          <w:p>
            <w:pPr>
              <w:spacing w:after="0"/>
            </w:pPr>
            <w:r/>
            <w:r>
              <w:rPr>
                <w:b/>
                <w:color w:val="FFFFFF"/>
                <w:sz w:val="15"/>
              </w:rPr>
              <w:t>Product</w:t>
            </w:r>
          </w:p>
        </w:tc>
        <w:tc>
          <w:tcPr>
            <w:tcW w:type="dxa" w:w="2091"/>
            <w:vAlign w:val="center"/>
            <w:shd w:fill="1F415E"/>
          </w:tcPr>
          <w:p>
            <w:pPr>
              <w:spacing w:after="0"/>
            </w:pPr>
            <w:r/>
            <w:r>
              <w:rPr>
                <w:b/>
                <w:color w:val="FFFFFF"/>
                <w:sz w:val="15"/>
              </w:rPr>
              <w:t>2024</w:t>
            </w:r>
          </w:p>
        </w:tc>
        <w:tc>
          <w:tcPr>
            <w:tcW w:type="dxa" w:w="2091"/>
            <w:vAlign w:val="center"/>
            <w:shd w:fill="1F415E"/>
          </w:tcPr>
          <w:p>
            <w:pPr>
              <w:spacing w:after="0"/>
            </w:pPr>
            <w:r/>
            <w:r>
              <w:rPr>
                <w:b/>
                <w:color w:val="FFFFFF"/>
                <w:sz w:val="15"/>
              </w:rPr>
              <w:t>2023</w:t>
            </w:r>
          </w:p>
        </w:tc>
        <w:tc>
          <w:tcPr>
            <w:tcW w:type="dxa" w:w="2091"/>
            <w:vAlign w:val="center"/>
            <w:shd w:fill="1F415E"/>
          </w:tcPr>
          <w:p>
            <w:pPr>
              <w:spacing w:after="0"/>
            </w:pPr>
            <w:r/>
            <w:r>
              <w:rPr>
                <w:b/>
                <w:color w:val="FFFFFF"/>
                <w:sz w:val="15"/>
              </w:rPr>
              <w:t>Change</w:t>
            </w:r>
          </w:p>
        </w:tc>
        <w:tc>
          <w:tcPr>
            <w:tcW w:type="dxa" w:w="2091"/>
            <w:vAlign w:val="center"/>
            <w:shd w:fill="1F415E"/>
          </w:tcPr>
          <w:p>
            <w:pPr>
              <w:spacing w:after="0"/>
            </w:pPr>
            <w:r/>
            <w:r>
              <w:rPr>
                <w:b/>
                <w:color w:val="FFFFFF"/>
                <w:sz w:val="15"/>
              </w:rPr>
              <w:t>Risk reading</w:t>
            </w:r>
          </w:p>
        </w:tc>
      </w:tr>
      <w:tr>
        <w:tc>
          <w:tcPr>
            <w:tcW w:type="dxa" w:w="1944"/>
            <w:vAlign w:val="center"/>
          </w:tcPr>
          <w:p>
            <w:pPr>
              <w:spacing w:after="0"/>
            </w:pPr>
            <w:r/>
            <w:r>
              <w:rPr>
                <w:b/>
                <w:sz w:val="14"/>
              </w:rPr>
              <w:t>SparkSprout</w:t>
            </w:r>
          </w:p>
        </w:tc>
        <w:tc>
          <w:tcPr>
            <w:tcW w:type="dxa" w:w="1469"/>
            <w:vAlign w:val="center"/>
          </w:tcPr>
          <w:p>
            <w:pPr>
              <w:spacing w:after="0"/>
            </w:pPr>
            <w:r/>
            <w:r>
              <w:rPr>
                <w:b w:val="0"/>
                <w:sz w:val="14"/>
              </w:rPr>
              <w:t>430k accts; $4.8m</w:t>
            </w:r>
          </w:p>
        </w:tc>
        <w:tc>
          <w:tcPr>
            <w:tcW w:type="dxa" w:w="1469"/>
            <w:vAlign w:val="center"/>
          </w:tcPr>
          <w:p>
            <w:pPr>
              <w:spacing w:after="0"/>
            </w:pPr>
            <w:r/>
            <w:r>
              <w:rPr>
                <w:b w:val="0"/>
                <w:sz w:val="14"/>
              </w:rPr>
              <w:t>310k; $3.6m</w:t>
            </w:r>
          </w:p>
        </w:tc>
        <w:tc>
          <w:tcPr>
            <w:tcW w:type="dxa" w:w="1584"/>
            <w:vAlign w:val="center"/>
          </w:tcPr>
          <w:p>
            <w:pPr>
              <w:spacing w:after="0"/>
            </w:pPr>
            <w:r/>
            <w:r>
              <w:rPr>
                <w:b w:val="0"/>
                <w:sz w:val="14"/>
              </w:rPr>
              <w:t>+39%; +33%</w:t>
            </w:r>
          </w:p>
        </w:tc>
        <w:tc>
          <w:tcPr>
            <w:tcW w:type="dxa" w:w="4320"/>
            <w:vAlign w:val="center"/>
          </w:tcPr>
          <w:p>
            <w:pPr>
              <w:spacing w:after="0"/>
            </w:pPr>
            <w:r/>
            <w:r>
              <w:rPr>
                <w:b w:val="0"/>
                <w:sz w:val="14"/>
              </w:rPr>
              <w:t>Child-directed (&lt;13). Retrievable parental-consent evidence absent for 18% of current accounts vs 6%.</w:t>
            </w:r>
          </w:p>
        </w:tc>
      </w:tr>
      <w:tr>
        <w:tc>
          <w:tcPr>
            <w:tcW w:type="dxa" w:w="1944"/>
            <w:vAlign w:val="center"/>
          </w:tcPr>
          <w:p>
            <w:pPr>
              <w:spacing w:after="0"/>
            </w:pPr>
            <w:r/>
            <w:r>
              <w:rPr>
                <w:b/>
                <w:sz w:val="14"/>
              </w:rPr>
              <w:t>GridQuest</w:t>
            </w:r>
          </w:p>
        </w:tc>
        <w:tc>
          <w:tcPr>
            <w:tcW w:type="dxa" w:w="1469"/>
            <w:vAlign w:val="center"/>
          </w:tcPr>
          <w:p>
            <w:pPr>
              <w:spacing w:after="0"/>
            </w:pPr>
            <w:r/>
            <w:r>
              <w:rPr>
                <w:b w:val="0"/>
                <w:sz w:val="14"/>
              </w:rPr>
              <w:t>1.1m users; $7.2m</w:t>
            </w:r>
          </w:p>
        </w:tc>
        <w:tc>
          <w:tcPr>
            <w:tcW w:type="dxa" w:w="1469"/>
            <w:vAlign w:val="center"/>
          </w:tcPr>
          <w:p>
            <w:pPr>
              <w:spacing w:after="0"/>
            </w:pPr>
            <w:r/>
            <w:r>
              <w:rPr>
                <w:b w:val="0"/>
                <w:sz w:val="14"/>
              </w:rPr>
              <w:t>900k; $6.0m</w:t>
            </w:r>
          </w:p>
        </w:tc>
        <w:tc>
          <w:tcPr>
            <w:tcW w:type="dxa" w:w="1584"/>
            <w:vAlign w:val="center"/>
          </w:tcPr>
          <w:p>
            <w:pPr>
              <w:spacing w:after="0"/>
            </w:pPr>
            <w:r/>
            <w:r>
              <w:rPr>
                <w:b w:val="0"/>
                <w:sz w:val="14"/>
              </w:rPr>
              <w:t>+22%; +20%</w:t>
            </w:r>
          </w:p>
        </w:tc>
        <w:tc>
          <w:tcPr>
            <w:tcW w:type="dxa" w:w="4320"/>
            <w:vAlign w:val="center"/>
          </w:tcPr>
          <w:p>
            <w:pPr>
              <w:spacing w:after="0"/>
            </w:pPr>
            <w:r/>
            <w:r>
              <w:rPr>
                <w:b w:val="0"/>
                <w:sz w:val="14"/>
              </w:rPr>
              <w:t>Mixed audience; behavioural advertising. Under-13 self-declaration 9% vs 7%; no separate consent flow.</w:t>
            </w:r>
          </w:p>
        </w:tc>
      </w:tr>
      <w:tr>
        <w:tc>
          <w:tcPr>
            <w:tcW w:type="dxa" w:w="1944"/>
            <w:vAlign w:val="center"/>
          </w:tcPr>
          <w:p>
            <w:pPr>
              <w:spacing w:after="0"/>
            </w:pPr>
            <w:r/>
            <w:r>
              <w:rPr>
                <w:b/>
                <w:sz w:val="14"/>
              </w:rPr>
              <w:t>WattWatch Club</w:t>
            </w:r>
          </w:p>
        </w:tc>
        <w:tc>
          <w:tcPr>
            <w:tcW w:type="dxa" w:w="1469"/>
            <w:vAlign w:val="center"/>
          </w:tcPr>
          <w:p>
            <w:pPr>
              <w:spacing w:after="0"/>
            </w:pPr>
            <w:r/>
            <w:r>
              <w:rPr>
                <w:b w:val="0"/>
                <w:sz w:val="14"/>
              </w:rPr>
              <w:t>210k profiles; $1.4m</w:t>
            </w:r>
          </w:p>
        </w:tc>
        <w:tc>
          <w:tcPr>
            <w:tcW w:type="dxa" w:w="1469"/>
            <w:vAlign w:val="center"/>
          </w:tcPr>
          <w:p>
            <w:pPr>
              <w:spacing w:after="0"/>
            </w:pPr>
            <w:r/>
            <w:r>
              <w:rPr>
                <w:b w:val="0"/>
                <w:sz w:val="14"/>
              </w:rPr>
              <w:t>170k; $1.1m</w:t>
            </w:r>
          </w:p>
        </w:tc>
        <w:tc>
          <w:tcPr>
            <w:tcW w:type="dxa" w:w="1584"/>
            <w:vAlign w:val="center"/>
          </w:tcPr>
          <w:p>
            <w:pPr>
              <w:spacing w:after="0"/>
            </w:pPr>
            <w:r/>
            <w:r>
              <w:rPr>
                <w:b w:val="0"/>
                <w:sz w:val="14"/>
              </w:rPr>
              <w:t>+24%; +27%</w:t>
            </w:r>
          </w:p>
        </w:tc>
        <w:tc>
          <w:tcPr>
            <w:tcW w:type="dxa" w:w="4320"/>
            <w:vAlign w:val="center"/>
          </w:tcPr>
          <w:p>
            <w:pPr>
              <w:spacing w:after="0"/>
            </w:pPr>
            <w:r/>
            <w:r>
              <w:rPr>
                <w:b w:val="0"/>
                <w:sz w:val="14"/>
              </w:rPr>
              <w:t>School-sold, no advertising. Contracts state schools are authorised to provide consent.</w:t>
            </w:r>
          </w:p>
        </w:tc>
      </w:tr>
      <w:tr>
        <w:tc>
          <w:tcPr>
            <w:tcW w:type="dxa" w:w="1944"/>
            <w:vAlign w:val="center"/>
            <w:shd w:fill="EAF0F5"/>
          </w:tcPr>
          <w:p>
            <w:pPr>
              <w:spacing w:after="0"/>
            </w:pPr>
            <w:r/>
            <w:r>
              <w:rPr>
                <w:b/>
                <w:sz w:val="14"/>
              </w:rPr>
              <w:t>Portfolio</w:t>
            </w:r>
          </w:p>
        </w:tc>
        <w:tc>
          <w:tcPr>
            <w:tcW w:type="dxa" w:w="1469"/>
            <w:vAlign w:val="center"/>
            <w:shd w:fill="EAF0F5"/>
          </w:tcPr>
          <w:p>
            <w:pPr>
              <w:spacing w:after="0"/>
            </w:pPr>
            <w:r/>
            <w:r>
              <w:rPr>
                <w:b w:val="0"/>
                <w:sz w:val="14"/>
              </w:rPr>
              <w:t>13.4m revenue</w:t>
            </w:r>
          </w:p>
        </w:tc>
        <w:tc>
          <w:tcPr>
            <w:tcW w:type="dxa" w:w="1469"/>
            <w:vAlign w:val="center"/>
            <w:shd w:fill="EAF0F5"/>
          </w:tcPr>
          <w:p>
            <w:pPr>
              <w:spacing w:after="0"/>
            </w:pPr>
            <w:r/>
            <w:r>
              <w:rPr>
                <w:b w:val="0"/>
                <w:sz w:val="14"/>
              </w:rPr>
              <w:t>10.7m revenue</w:t>
            </w:r>
          </w:p>
        </w:tc>
        <w:tc>
          <w:tcPr>
            <w:tcW w:type="dxa" w:w="1584"/>
            <w:vAlign w:val="center"/>
            <w:shd w:fill="EAF0F5"/>
          </w:tcPr>
          <w:p>
            <w:pPr>
              <w:spacing w:after="0"/>
            </w:pPr>
            <w:r/>
            <w:r>
              <w:rPr>
                <w:b w:val="0"/>
                <w:sz w:val="14"/>
              </w:rPr>
              <w:t>+25%</w:t>
            </w:r>
          </w:p>
        </w:tc>
        <w:tc>
          <w:tcPr>
            <w:tcW w:type="dxa" w:w="4320"/>
            <w:vAlign w:val="center"/>
            <w:shd w:fill="EAF0F5"/>
          </w:tcPr>
          <w:p>
            <w:pPr>
              <w:spacing w:after="0"/>
            </w:pPr>
            <w:r/>
            <w:r>
              <w:rPr>
                <w:b w:val="0"/>
                <w:sz w:val="14"/>
              </w:rPr>
              <w:t>2023 shortcut: 10% x $10.7m = $1.07m booked.</w:t>
            </w:r>
          </w:p>
        </w:tc>
      </w:tr>
    </w:tbl>
    <w:p>
      <w:pPr>
        <w:spacing w:after="60" w:line="245" w:lineRule="auto"/>
      </w:pPr>
      <w:r>
        <w:rPr>
          <w:sz w:val="18"/>
        </w:rPr>
        <w:t>The change is not simply scale. SparkSprout’s missing evidence triples; GridQuest combines a growing under-13 segment with behavioural advertising and no separate flow; WattWatch’s school-consent contract is a materially different fact pattern. User totals, self-declared children, child profiles and accounts lacking retrievable evidence are not interchangeable denominators.</w:t>
      </w:r>
    </w:p>
    <w:p>
      <w:pPr>
        <w:spacing w:before="100" w:after="40"/>
      </w:pPr>
      <w:r>
        <w:rPr>
          <w:b/>
          <w:color w:val="1F415E"/>
          <w:sz w:val="22"/>
        </w:rPr>
        <w:t>Accounting conclusion (what must follow)</w:t>
      </w:r>
    </w:p>
    <w:p>
      <w:pPr>
        <w:spacing w:after="60" w:line="245" w:lineRule="auto"/>
      </w:pPr>
      <w:r>
        <w:rPr>
          <w:sz w:val="18"/>
        </w:rPr>
        <w:t>Under the applicable loss-contingency model, accrual requires (1) an unfavourable outcome that is probable under the relevant threshold and (2) a reasonably estimable amount. For an unasserted claim, likelihood of assertion is considered before outcome. At cutoff there is no demand, lawsuit, regulator contact or announced investigation. Internal control findings increase potential magnitude and uncertainty, but are not an asserted matter. A calculable planning bracket therefore does not compel an accrual.</w:t>
      </w:r>
    </w:p>
    <w:p>
      <w:pPr>
        <w:spacing w:after="60" w:line="245" w:lineRule="auto"/>
      </w:pPr>
      <w:r>
        <w:rPr>
          <w:sz w:val="18"/>
        </w:rPr>
        <w:t>Recommendation: book exactly $0.00 at 31 December 2024. This is one accounting decision, not a conclusion that the products are compliant or that loss is remote. Finance and counsel should assess disclosure separately: if the likelihood of a claim is reasonably possible and material, describe the nature and an estimate or range (or explain why one cannot be made); do not imply that non-accrual ends the analysis. Reassess on a demand, regulator contact, investigation notice or reliable settlement posture.</w:t>
      </w:r>
    </w:p>
    <w:p>
      <w:pPr>
        <w:spacing w:before="100" w:after="40"/>
      </w:pPr>
      <w:r>
        <w:rPr>
          <w:b/>
          <w:color w:val="1F415E"/>
          <w:sz w:val="22"/>
        </w:rPr>
        <w:t>Planning exposure (what should be maintained)</w:t>
      </w:r>
    </w:p>
    <w:p>
      <w:pPr>
        <w:spacing w:after="60" w:line="245" w:lineRule="auto"/>
      </w:pPr>
      <w:r>
        <w:rPr>
          <w:sz w:val="18"/>
        </w:rPr>
        <w:t>Planning scope is gross monetary resolution value for privacy/consent conduct, before unknown insurance, indemnification, tax or deductibility. It excludes the unpriced cost of deletion, monitoring, engineering and compliance obligations, which may be operationally significant but are not assigned invented dollars. The bracket is deliberately rounded to avoid false precision and is not a per-user tariff, adjudicated damages figure or guaranteed settlement value.</w:t>
      </w:r>
    </w:p>
    <w:p>
      <w:pPr>
        <w:spacing w:after="60" w:line="245" w:lineRule="auto"/>
      </w:pPr>
      <w:r>
        <w:rPr>
          <w:sz w:val="18"/>
        </w:rPr>
        <w:t>Low case - $0.5m: a modest app-publisher resolution with limited affected population, cooperation and targeted redress. High case - $3.0m: overlapping penalty/redress or a negotiated private fund across the portfolio, with SparkSprout and GridQuest driving the result. WattWatch is a lower-severity comparator on the supplied facts; no amount is added for its school contracts beyond the qualitative uncertainty they reduce.</w:t>
      </w:r>
    </w:p>
    <w:p>
      <w:pPr>
        <w:spacing w:after="60" w:line="245" w:lineRule="auto"/>
      </w:pPr>
      <w:r>
        <w:rPr>
          <w:sz w:val="18"/>
        </w:rPr>
        <w:t>Drivers to update the bracket are assertion posture, duration/knowledge, monetisation (especially behavioural advertising), quality of consent evidence, remediation and cooperation, ability to pay, and enterprise scale. Probability and magnitude are separate: a severe possible outcome is not thereby probable.</w:t>
      </w:r>
    </w:p>
    <w:p>
      <w:pPr>
        <w:spacing w:before="100" w:after="40"/>
      </w:pPr>
      <w:r>
        <w:rPr>
          <w:b/>
          <w:color w:val="1F415E"/>
          <w:sz w:val="22"/>
        </w:rPr>
        <w:t>Comparable outcomes (1 Jan 2021 - 31 Dec 2024)</w:t>
      </w:r>
    </w:p>
    <w:tbl>
      <w:tblPr>
        <w:tblW w:type="auto" w:w="0"/>
        <w:tblLayout w:type="fixed"/>
        <w:tblLook w:firstColumn="1" w:firstRow="1" w:lastColumn="0" w:lastRow="0" w:noHBand="0" w:noVBand="1" w:val="04A0"/>
      </w:tblPr>
      <w:tblGrid>
        <w:gridCol w:w="1944"/>
        <w:gridCol w:w="2448"/>
        <w:gridCol w:w="3240"/>
        <w:gridCol w:w="3024"/>
      </w:tblGrid>
      <w:tr>
        <w:tc>
          <w:tcPr>
            <w:tcW w:type="dxa" w:w="2613"/>
            <w:vAlign w:val="center"/>
            <w:shd w:fill="1F415E"/>
          </w:tcPr>
          <w:p>
            <w:pPr>
              <w:spacing w:after="0"/>
            </w:pPr>
            <w:r/>
            <w:r>
              <w:rPr>
                <w:b/>
                <w:color w:val="FFFFFF"/>
                <w:sz w:val="15"/>
              </w:rPr>
              <w:t>Matter / date</w:t>
            </w:r>
          </w:p>
        </w:tc>
        <w:tc>
          <w:tcPr>
            <w:tcW w:type="dxa" w:w="2613"/>
            <w:vAlign w:val="center"/>
            <w:shd w:fill="1F415E"/>
          </w:tcPr>
          <w:p>
            <w:pPr>
              <w:spacing w:after="0"/>
            </w:pPr>
            <w:r/>
            <w:r>
              <w:rPr>
                <w:b/>
                <w:color w:val="FFFFFF"/>
                <w:sz w:val="15"/>
              </w:rPr>
              <w:t>Monetary components</w:t>
            </w:r>
          </w:p>
        </w:tc>
        <w:tc>
          <w:tcPr>
            <w:tcW w:type="dxa" w:w="2613"/>
            <w:vAlign w:val="center"/>
            <w:shd w:fill="1F415E"/>
          </w:tcPr>
          <w:p>
            <w:pPr>
              <w:spacing w:after="0"/>
            </w:pPr>
            <w:r/>
            <w:r>
              <w:rPr>
                <w:b/>
                <w:color w:val="FFFFFF"/>
                <w:sz w:val="15"/>
              </w:rPr>
              <w:t>Why it informs / limits</w:t>
            </w:r>
          </w:p>
        </w:tc>
        <w:tc>
          <w:tcPr>
            <w:tcW w:type="dxa" w:w="2613"/>
            <w:vAlign w:val="center"/>
            <w:shd w:fill="1F415E"/>
          </w:tcPr>
          <w:p>
            <w:pPr>
              <w:spacing w:after="0"/>
            </w:pPr>
            <w:r/>
            <w:r>
              <w:rPr>
                <w:b/>
                <w:color w:val="FFFFFF"/>
                <w:sz w:val="15"/>
              </w:rPr>
              <w:t>Source anchor</w:t>
            </w:r>
          </w:p>
        </w:tc>
      </w:tr>
      <w:tr>
        <w:tc>
          <w:tcPr>
            <w:tcW w:type="dxa" w:w="1944"/>
            <w:vAlign w:val="center"/>
          </w:tcPr>
          <w:p>
            <w:pPr>
              <w:spacing w:after="0"/>
            </w:pPr>
            <w:r/>
            <w:r>
              <w:rPr>
                <w:b/>
                <w:sz w:val="14"/>
              </w:rPr>
              <w:t>FTC v WW International (Kurbo), 2022</w:t>
            </w:r>
          </w:p>
        </w:tc>
        <w:tc>
          <w:tcPr>
            <w:tcW w:type="dxa" w:w="2448"/>
            <w:vAlign w:val="center"/>
          </w:tcPr>
          <w:p>
            <w:pPr>
              <w:spacing w:after="0"/>
            </w:pPr>
            <w:r/>
            <w:r>
              <w:rPr>
                <w:b w:val="0"/>
                <w:sz w:val="14"/>
              </w:rPr>
              <w:t>$1.5m civil penalty; deletion/algorithmic remedies</w:t>
            </w:r>
          </w:p>
        </w:tc>
        <w:tc>
          <w:tcPr>
            <w:tcW w:type="dxa" w:w="3240"/>
            <w:vAlign w:val="center"/>
          </w:tcPr>
          <w:p>
            <w:pPr>
              <w:spacing w:after="0"/>
            </w:pPr>
            <w:r/>
            <w:r>
              <w:rPr>
                <w:b w:val="0"/>
                <w:sz w:val="14"/>
              </w:rPr>
              <w:t>Child-directed health app; close conduct fit. Consent order is negotiated, not damages precedent.</w:t>
            </w:r>
          </w:p>
        </w:tc>
        <w:tc>
          <w:tcPr>
            <w:tcW w:type="dxa" w:w="3024"/>
            <w:vAlign w:val="center"/>
          </w:tcPr>
          <w:p>
            <w:pPr>
              <w:spacing w:after="0"/>
            </w:pPr>
            <w:r/>
            <w:r>
              <w:rPr>
                <w:b w:val="0"/>
                <w:sz w:val="14"/>
              </w:rPr>
              <w:t>FTC, “WW International to Pay $1.5 Million,” 3 Oct 2022.</w:t>
            </w:r>
          </w:p>
        </w:tc>
      </w:tr>
      <w:tr>
        <w:tc>
          <w:tcPr>
            <w:tcW w:type="dxa" w:w="1944"/>
            <w:vAlign w:val="center"/>
          </w:tcPr>
          <w:p>
            <w:pPr>
              <w:spacing w:after="0"/>
            </w:pPr>
            <w:r/>
            <w:r>
              <w:rPr>
                <w:b/>
                <w:sz w:val="14"/>
              </w:rPr>
              <w:t>FTC v Epic Games, 2022</w:t>
            </w:r>
          </w:p>
        </w:tc>
        <w:tc>
          <w:tcPr>
            <w:tcW w:type="dxa" w:w="2448"/>
            <w:vAlign w:val="center"/>
          </w:tcPr>
          <w:p>
            <w:pPr>
              <w:spacing w:after="0"/>
            </w:pPr>
            <w:r/>
            <w:r>
              <w:rPr>
                <w:b w:val="0"/>
                <w:sz w:val="14"/>
              </w:rPr>
              <w:t>$275m civil penalty; separate $245m refunds</w:t>
            </w:r>
          </w:p>
        </w:tc>
        <w:tc>
          <w:tcPr>
            <w:tcW w:type="dxa" w:w="3240"/>
            <w:vAlign w:val="center"/>
          </w:tcPr>
          <w:p>
            <w:pPr>
              <w:spacing w:after="0"/>
            </w:pPr>
            <w:r/>
            <w:r>
              <w:rPr>
                <w:b w:val="0"/>
                <w:sz w:val="14"/>
              </w:rPr>
              <w:t>Children’s gaming and dark-pattern conduct. Refund pool is not penalty; Epic scale is an outlier, used only as ceiling context.</w:t>
            </w:r>
          </w:p>
        </w:tc>
        <w:tc>
          <w:tcPr>
            <w:tcW w:type="dxa" w:w="3024"/>
            <w:vAlign w:val="center"/>
          </w:tcPr>
          <w:p>
            <w:pPr>
              <w:spacing w:after="0"/>
            </w:pPr>
            <w:r/>
            <w:r>
              <w:rPr>
                <w:b w:val="0"/>
                <w:sz w:val="14"/>
              </w:rPr>
              <w:t>FTC, “Epic Games Will Pay $520 Million,” 19 Dec 2022.</w:t>
            </w:r>
          </w:p>
        </w:tc>
      </w:tr>
      <w:tr>
        <w:tc>
          <w:tcPr>
            <w:tcW w:type="dxa" w:w="1944"/>
            <w:vAlign w:val="center"/>
          </w:tcPr>
          <w:p>
            <w:pPr>
              <w:spacing w:after="0"/>
            </w:pPr>
            <w:r/>
            <w:r>
              <w:rPr>
                <w:b/>
                <w:sz w:val="14"/>
              </w:rPr>
              <w:t>FTC v Microsoft/Xbox, 2023</w:t>
            </w:r>
          </w:p>
        </w:tc>
        <w:tc>
          <w:tcPr>
            <w:tcW w:type="dxa" w:w="2448"/>
            <w:vAlign w:val="center"/>
          </w:tcPr>
          <w:p>
            <w:pPr>
              <w:spacing w:after="0"/>
            </w:pPr>
            <w:r/>
            <w:r>
              <w:rPr>
                <w:b w:val="0"/>
                <w:sz w:val="14"/>
              </w:rPr>
              <w:t>$20m civil penalty</w:t>
            </w:r>
          </w:p>
        </w:tc>
        <w:tc>
          <w:tcPr>
            <w:tcW w:type="dxa" w:w="3240"/>
            <w:vAlign w:val="center"/>
          </w:tcPr>
          <w:p>
            <w:pPr>
              <w:spacing w:after="0"/>
            </w:pPr>
            <w:r/>
            <w:r>
              <w:rPr>
                <w:b w:val="0"/>
                <w:sz w:val="14"/>
              </w:rPr>
              <w:t>Child-account retention/consent resolution; platform scale requires downward qualitative adjustment.</w:t>
            </w:r>
          </w:p>
        </w:tc>
        <w:tc>
          <w:tcPr>
            <w:tcW w:type="dxa" w:w="3024"/>
            <w:vAlign w:val="center"/>
          </w:tcPr>
          <w:p>
            <w:pPr>
              <w:spacing w:after="0"/>
            </w:pPr>
            <w:r/>
            <w:r>
              <w:rPr>
                <w:b w:val="0"/>
                <w:sz w:val="14"/>
              </w:rPr>
              <w:t>FTC, “Microsoft to Pay $20 Million,” 5 Jun 2023.</w:t>
            </w:r>
          </w:p>
        </w:tc>
      </w:tr>
      <w:tr>
        <w:tc>
          <w:tcPr>
            <w:tcW w:type="dxa" w:w="1944"/>
            <w:vAlign w:val="center"/>
          </w:tcPr>
          <w:p>
            <w:pPr>
              <w:spacing w:after="0"/>
            </w:pPr>
            <w:r/>
            <w:r>
              <w:rPr>
                <w:b/>
                <w:sz w:val="14"/>
              </w:rPr>
              <w:t>FTC v Edmodo, 2023</w:t>
            </w:r>
          </w:p>
        </w:tc>
        <w:tc>
          <w:tcPr>
            <w:tcW w:type="dxa" w:w="2448"/>
            <w:vAlign w:val="center"/>
          </w:tcPr>
          <w:p>
            <w:pPr>
              <w:spacing w:after="0"/>
            </w:pPr>
            <w:r/>
            <w:r>
              <w:rPr>
                <w:b w:val="0"/>
                <w:sz w:val="14"/>
              </w:rPr>
              <w:t>$6m announced civil penalty, payment suspended for inability to pay</w:t>
            </w:r>
          </w:p>
        </w:tc>
        <w:tc>
          <w:tcPr>
            <w:tcW w:type="dxa" w:w="3240"/>
            <w:vAlign w:val="center"/>
          </w:tcPr>
          <w:p>
            <w:pPr>
              <w:spacing w:after="0"/>
            </w:pPr>
            <w:r/>
            <w:r>
              <w:rPr>
                <w:b w:val="0"/>
                <w:sz w:val="14"/>
              </w:rPr>
              <w:t>Education platform; suspended amount is not ordinary cash paid and is not used as a cash midpoint.</w:t>
            </w:r>
          </w:p>
        </w:tc>
        <w:tc>
          <w:tcPr>
            <w:tcW w:type="dxa" w:w="3024"/>
            <w:vAlign w:val="center"/>
          </w:tcPr>
          <w:p>
            <w:pPr>
              <w:spacing w:after="0"/>
            </w:pPr>
            <w:r/>
            <w:r>
              <w:rPr>
                <w:b w:val="0"/>
                <w:sz w:val="14"/>
              </w:rPr>
              <w:t>FTC, “Edmodo Will Pay $6 Million,” 22 May 2023.</w:t>
            </w:r>
          </w:p>
        </w:tc>
      </w:tr>
      <w:tr>
        <w:tc>
          <w:tcPr>
            <w:tcW w:type="dxa" w:w="1944"/>
            <w:vAlign w:val="center"/>
          </w:tcPr>
          <w:p>
            <w:pPr>
              <w:spacing w:after="0"/>
            </w:pPr>
            <w:r/>
            <w:r>
              <w:rPr>
                <w:b/>
                <w:sz w:val="14"/>
              </w:rPr>
              <w:t>FTC v NGL Labs, 2024</w:t>
            </w:r>
          </w:p>
        </w:tc>
        <w:tc>
          <w:tcPr>
            <w:tcW w:type="dxa" w:w="2448"/>
            <w:vAlign w:val="center"/>
          </w:tcPr>
          <w:p>
            <w:pPr>
              <w:spacing w:after="0"/>
            </w:pPr>
            <w:r/>
            <w:r>
              <w:rPr>
                <w:b w:val="0"/>
                <w:sz w:val="14"/>
              </w:rPr>
              <w:t>$5m headline: approx. $4.5m consumer redress + $0.5m civil penalty</w:t>
            </w:r>
          </w:p>
        </w:tc>
        <w:tc>
          <w:tcPr>
            <w:tcW w:type="dxa" w:w="3240"/>
            <w:vAlign w:val="center"/>
          </w:tcPr>
          <w:p>
            <w:pPr>
              <w:spacing w:after="0"/>
            </w:pPr>
            <w:r/>
            <w:r>
              <w:rPr>
                <w:b w:val="0"/>
                <w:sz w:val="14"/>
              </w:rPr>
              <w:t>Child/teen messaging; redress and penalty remain separate; useful for remedy taxonomy, not a blended rate.</w:t>
            </w:r>
          </w:p>
        </w:tc>
        <w:tc>
          <w:tcPr>
            <w:tcW w:type="dxa" w:w="3024"/>
            <w:vAlign w:val="center"/>
          </w:tcPr>
          <w:p>
            <w:pPr>
              <w:spacing w:after="0"/>
            </w:pPr>
            <w:r/>
            <w:r>
              <w:rPr>
                <w:b w:val="0"/>
                <w:sz w:val="14"/>
              </w:rPr>
              <w:t>FTC, “NGL to Pay $5 Million,” 9 Jul 2024.</w:t>
            </w:r>
          </w:p>
        </w:tc>
      </w:tr>
      <w:tr>
        <w:tc>
          <w:tcPr>
            <w:tcW w:type="dxa" w:w="1944"/>
            <w:vAlign w:val="center"/>
          </w:tcPr>
          <w:p>
            <w:pPr>
              <w:spacing w:after="0"/>
            </w:pPr>
            <w:r/>
            <w:r>
              <w:rPr>
                <w:b/>
                <w:sz w:val="14"/>
              </w:rPr>
              <w:t>FTC v Tilting Point, 2024</w:t>
            </w:r>
          </w:p>
        </w:tc>
        <w:tc>
          <w:tcPr>
            <w:tcW w:type="dxa" w:w="2448"/>
            <w:vAlign w:val="center"/>
          </w:tcPr>
          <w:p>
            <w:pPr>
              <w:spacing w:after="0"/>
            </w:pPr>
            <w:r/>
            <w:r>
              <w:rPr>
                <w:b w:val="0"/>
                <w:sz w:val="14"/>
              </w:rPr>
              <w:t>$0.5m civil penalty; nonmonetary compliance relief</w:t>
            </w:r>
          </w:p>
        </w:tc>
        <w:tc>
          <w:tcPr>
            <w:tcW w:type="dxa" w:w="3240"/>
            <w:vAlign w:val="center"/>
          </w:tcPr>
          <w:p>
            <w:pPr>
              <w:spacing w:after="0"/>
            </w:pPr>
            <w:r/>
            <w:r>
              <w:rPr>
                <w:b w:val="0"/>
                <w:sz w:val="14"/>
              </w:rPr>
              <w:t>Children’s game publisher, closer monetary scale; injunctive terms have no invented cash value.</w:t>
            </w:r>
          </w:p>
        </w:tc>
        <w:tc>
          <w:tcPr>
            <w:tcW w:type="dxa" w:w="3024"/>
            <w:vAlign w:val="center"/>
          </w:tcPr>
          <w:p>
            <w:pPr>
              <w:spacing w:after="0"/>
            </w:pPr>
            <w:r/>
            <w:r>
              <w:rPr>
                <w:b w:val="0"/>
                <w:sz w:val="14"/>
              </w:rPr>
              <w:t>FTC, “Tilting Point to Pay $500,000,” 18 Jun 2024.</w:t>
            </w:r>
          </w:p>
        </w:tc>
      </w:tr>
    </w:tbl>
    <w:p>
      <w:pPr>
        <w:spacing w:after="60" w:line="245" w:lineRule="auto"/>
      </w:pPr>
      <w:r>
        <w:rPr>
          <w:sz w:val="18"/>
        </w:rPr>
        <w:t>Selection criteria: U.S. public outcomes in the window involving children’s digital products and privacy/consent conduct, with a stated resolution posture, remedy type and enough scale context to avoid a raw average. Device/platform and very large-enterprise matters are analogues or outliers, not same-scale app comparables. Publicly announced private class actions in this window did not provide a sufficiently verified, final, same-conduct settlement fund for this portfolio; allegations, verdicts and proposed settlements are not filled in as “comparables.”</w:t>
      </w:r>
    </w:p>
    <w:p>
      <w:pPr>
        <w:spacing w:after="60" w:line="245" w:lineRule="auto"/>
      </w:pPr>
      <w:r>
        <w:rPr>
          <w:sz w:val="18"/>
        </w:rPr>
        <w:t>Do not add components twice: Epic’s $520m headline is split into $275m penalty and $245m refunds; NGL’s $5m is split into redress and penalty; Edmodo’s $6m is suspended. Consent orders and settlements evidence negotiated resolution, not binding per-user rates. No per-user transfer is used here because denominators differ (users, child accounts, profiles and consent-gap accounts).</w:t>
      </w:r>
    </w:p>
    <w:p>
      <w:pPr>
        <w:spacing w:before="100" w:after="40"/>
      </w:pPr>
      <w:r>
        <w:rPr>
          <w:b/>
          <w:color w:val="1F415E"/>
          <w:sz w:val="22"/>
        </w:rPr>
        <w:t>Why the 10% shortcut stops working here</w:t>
      </w:r>
    </w:p>
    <w:p>
      <w:pPr>
        <w:spacing w:after="60" w:line="245" w:lineRule="auto"/>
      </w:pPr>
      <w:r>
        <w:rPr>
          <w:sz w:val="18"/>
        </w:rPr>
        <w:t>The 2023 method was arithmetically clear: $3.6m + $6.0m + $1.1m = $10.7m; 10% = $1.07m. Applied mechanically to 2024, it would be $13.4m x 10% = $1.34m. That rule of thumb ceases to be useful when claim posture, remedy type, affected-child denominator, duration/knowledge, advertising conduct or remediation is not correlated with revenue. Here, no matter is asserted and risk changed unevenly by product; revenue growth is therefore a poor proxy for either assertion probability or loss magnitude. It should not be rolled forward.</w:t>
      </w:r>
    </w:p>
    <w:p>
      <w:pPr>
        <w:spacing w:before="100" w:after="40"/>
      </w:pPr>
      <w:r>
        <w:rPr>
          <w:b/>
          <w:color w:val="1F415E"/>
          <w:sz w:val="22"/>
        </w:rPr>
        <w:t>Actions before the 13 January audit visit</w:t>
      </w:r>
    </w:p>
    <w:p>
      <w:pPr>
        <w:spacing w:after="60" w:line="245" w:lineRule="auto"/>
      </w:pPr>
      <w:r>
        <w:rPr>
          <w:sz w:val="18"/>
        </w:rPr>
        <w:t>Bianca/Finance: retain the $0 booking decision and this gross range as separate workpapers; decide disclosure wording with counsel before 13 January. Juno/Product: by 10 January, validate the 18% SparkSprout consent-evidence gap, document the GridQuest under-13 population and implement/describe a separate consent flow. Counsel: by 13 January, refresh assertion indicators, preserve relevant records and confirm whether any regulator, demand or claimant contact changes the unasserted-matter conclusion. Recalculate only from verified denominators; do not net unknown insurance or indemnity.</w:t>
      </w:r>
    </w:p>
    <w:p>
      <w:pPr>
        <w:spacing w:before="100" w:after="40"/>
      </w:pPr>
      <w:r>
        <w:rPr>
          <w:b/>
          <w:color w:val="1F415E"/>
          <w:sz w:val="22"/>
        </w:rPr>
        <w:t>Final decision</w:t>
      </w:r>
    </w:p>
    <w:p>
      <w:pPr>
        <w:spacing w:after="60" w:line="245" w:lineRule="auto"/>
      </w:pPr>
      <w:r>
        <w:rPr>
          <w:sz w:val="18"/>
        </w:rPr>
        <w:t>As of 31 December 2024, Saltmarsh should record $0.00 for this unasserted children’s-app matter. Maintain, separately for prudent planning and remediation, a gross exposure range of $0.5m-$3.0m under the scope and limitations above; revisit recognition and disclosure if assertion or investigation occurs.</w:t>
      </w:r>
    </w:p>
    <w:sectPr w:rsidR="00FC693F" w:rsidRPr="0006063C" w:rsidSect="00034616">
      <w:headerReference w:type="default" r:id="rId9"/>
      <w:footerReference w:type="default" r:id="rId10"/>
      <w:pgSz w:w="12240" w:h="15840"/>
      <w:pgMar w:top="792"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Privileged and confidential - prepared for Saltmarsh Energy counsel | 31 December 2024 cutoff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MEADOWGATE ADVISORY  |  PRIVACY / CONTINGENCIES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