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 CAD / Records Architecture Plan</w:t>
      </w:r>
    </w:p>
    <w:p>
      <w:pPr>
        <w:spacing w:after="100"/>
      </w:pPr>
      <w:r>
        <w:rPr>
          <w:color w:val="595959"/>
          <w:sz w:val="17"/>
        </w:rPr>
        <w:t>Decision memorandum  |  From: Sgt. Bronwyn Szymanski  |  For: Director Hallam Oyekunle</w:t>
      </w:r>
    </w:p>
    <w:p>
      <w:pPr>
        <w:pStyle w:val="Heading1"/>
        <w:spacing w:after="50"/>
      </w:pPr>
      <w:r>
        <w:t>Decision at a glance</w:t>
      </w:r>
    </w:p>
    <w:tbl>
      <w:tblPr>
        <w:tblStyle w:val="TableGrid"/>
        <w:tblW w:type="auto" w:w="0"/>
        <w:tblLook w:firstColumn="1" w:firstRow="1" w:lastColumn="0" w:lastRow="0" w:noHBand="0" w:noVBand="1" w:val="04A0"/>
      </w:tblPr>
      <w:tblGrid>
        <w:gridCol w:w="10454"/>
      </w:tblGrid>
      <w:tr>
        <w:tc>
          <w:tcPr>
            <w:tcW w:type="dxa" w:w="10454"/>
            <w:shd w:fill="EAF2F8"/>
            <w:vAlign w:val="center"/>
          </w:tcPr>
          <w:p>
            <w:pPr>
              <w:spacing w:after="20"/>
            </w:pPr>
            <w:r/>
            <w:r>
              <w:rPr>
                <w:b/>
                <w:sz w:val="18"/>
              </w:rPr>
              <w:t>Recommendation: build Configuration B — Split-Path Regional Core. Keep dispatch call entry and dispatch-critical CAD transactions on the low-latency regional dispatch path. Put the authoritative current records tier—and every records replica, backup, and privileged administration path—inside the approved CJIS hosting and access boundary. Connect the two paths through a controlled, monitored interface.</w:t>
            </w:r>
          </w:p>
        </w:tc>
      </w:tr>
    </w:tbl>
    <w:p>
      <w:pPr>
        <w:spacing w:after="50"/>
      </w:pPr>
      <w:r>
        <w:t>This is a target boundary for discovery, not a claim of CJIS certification or vendor capability. Before production use, the designated security owner must validate the required controls and authorization evidence. The selected design accepts interface and coexistence discipline as its trade-off because it does not trade away dispatch responsiveness, records placement, or historical integrity.</w:t>
      </w:r>
    </w:p>
    <w:p>
      <w:pPr>
        <w:pStyle w:val="Heading1"/>
        <w:spacing w:after="50"/>
      </w:pPr>
      <w:r>
        <w:t>Scope, system of record, and frontline operating boundary</w:t>
      </w:r>
    </w:p>
    <w:tbl>
      <w:tblPr>
        <w:tblStyle w:val="TableGrid"/>
        <w:tblW w:type="auto" w:w="0"/>
        <w:jc w:val="center"/>
        <w:tblLook w:firstColumn="1" w:firstRow="1" w:lastColumn="0" w:lastRow="0" w:noHBand="0" w:noVBand="1" w:val="04A0"/>
      </w:tblPr>
      <w:tblGrid>
        <w:gridCol w:w="5227"/>
        <w:gridCol w:w="5227"/>
      </w:tblGrid>
      <w:tr>
        <w:tc>
          <w:tcPr>
            <w:tcW w:type="dxa" w:w="1944"/>
            <w:vAlign w:val="center"/>
            <w:shd w:fill="D9EAF7"/>
          </w:tcPr>
          <w:p>
            <w:pPr>
              <w:spacing w:after="20"/>
            </w:pPr>
            <w:r/>
            <w:r>
              <w:rPr>
                <w:b/>
                <w:sz w:val="16"/>
              </w:rPr>
              <w:t>Area</w:t>
            </w:r>
          </w:p>
        </w:tc>
        <w:tc>
          <w:tcPr>
            <w:tcW w:type="dxa" w:w="7704"/>
            <w:vAlign w:val="center"/>
            <w:shd w:fill="D9EAF7"/>
          </w:tcPr>
          <w:p>
            <w:pPr>
              <w:spacing w:after="20"/>
            </w:pPr>
            <w:r/>
            <w:r>
              <w:rPr>
                <w:b/>
                <w:sz w:val="16"/>
              </w:rPr>
              <w:t>Target boundary and working rule</w:t>
            </w:r>
          </w:p>
        </w:tc>
      </w:tr>
      <w:tr>
        <w:tc>
          <w:tcPr>
            <w:tcW w:type="dxa" w:w="1944"/>
            <w:vAlign w:val="center"/>
          </w:tcPr>
          <w:p>
            <w:pPr>
              <w:spacing w:after="20"/>
            </w:pPr>
            <w:r/>
            <w:r>
              <w:rPr>
                <w:b w:val="0"/>
                <w:sz w:val="16"/>
              </w:rPr>
              <w:t>CAD operational path</w:t>
            </w:r>
          </w:p>
        </w:tc>
        <w:tc>
          <w:tcPr>
            <w:tcW w:type="dxa" w:w="7704"/>
            <w:vAlign w:val="center"/>
          </w:tcPr>
          <w:p>
            <w:pPr>
              <w:spacing w:after="20"/>
            </w:pPr>
            <w:r/>
            <w:r>
              <w:rPr>
                <w:b w:val="0"/>
                <w:sz w:val="16"/>
              </w:rPr>
              <w:t>Call entry, unit status, incident command, and dispatch-critical transaction handling remain on the direct regional dispatch path. It must not be rerouted through the central records location.</w:t>
            </w:r>
          </w:p>
        </w:tc>
      </w:tr>
      <w:tr>
        <w:tc>
          <w:tcPr>
            <w:tcW w:type="dxa" w:w="1944"/>
            <w:vAlign w:val="center"/>
          </w:tcPr>
          <w:p>
            <w:pPr>
              <w:spacing w:after="20"/>
            </w:pPr>
            <w:r/>
            <w:r>
              <w:rPr>
                <w:b w:val="0"/>
                <w:sz w:val="16"/>
              </w:rPr>
              <w:t>Records-data path</w:t>
            </w:r>
          </w:p>
        </w:tc>
        <w:tc>
          <w:tcPr>
            <w:tcW w:type="dxa" w:w="7704"/>
            <w:vAlign w:val="center"/>
          </w:tcPr>
          <w:p>
            <w:pPr>
              <w:spacing w:after="20"/>
            </w:pPr>
            <w:r/>
            <w:r>
              <w:rPr>
                <w:b w:val="0"/>
                <w:sz w:val="16"/>
              </w:rPr>
              <w:t>The consolidated records tier is the single authoritative location for current records after cutover. It resides inside the approved CJIS boundary; access from CAD is only through the controlled interface.</w:t>
            </w:r>
          </w:p>
        </w:tc>
      </w:tr>
      <w:tr>
        <w:tc>
          <w:tcPr>
            <w:tcW w:type="dxa" w:w="1944"/>
            <w:vAlign w:val="center"/>
          </w:tcPr>
          <w:p>
            <w:pPr>
              <w:spacing w:after="20"/>
            </w:pPr>
            <w:r/>
            <w:r>
              <w:rPr>
                <w:b w:val="0"/>
                <w:sz w:val="16"/>
              </w:rPr>
              <w:t>Historical data</w:t>
            </w:r>
          </w:p>
        </w:tc>
        <w:tc>
          <w:tcPr>
            <w:tcW w:type="dxa" w:w="7704"/>
            <w:vAlign w:val="center"/>
          </w:tcPr>
          <w:p>
            <w:pPr>
              <w:spacing w:after="20"/>
            </w:pPr>
            <w:r/>
            <w:r>
              <w:rPr>
                <w:b w:val="0"/>
                <w:sz w:val="16"/>
              </w:rPr>
              <w:t>Historical records from Gildenhall Logistics, Anvilcross Trading Company, and the third member agency are converted or made available through the consolidated records design with source lineage and NIBRS Group A mapping/crosswalk evidence.</w:t>
            </w:r>
          </w:p>
        </w:tc>
      </w:tr>
      <w:tr>
        <w:tc>
          <w:tcPr>
            <w:tcW w:type="dxa" w:w="1944"/>
            <w:vAlign w:val="center"/>
          </w:tcPr>
          <w:p>
            <w:pPr>
              <w:spacing w:after="20"/>
            </w:pPr>
            <w:r/>
            <w:r>
              <w:rPr>
                <w:b w:val="0"/>
                <w:sz w:val="16"/>
              </w:rPr>
              <w:t>Retained servers</w:t>
            </w:r>
          </w:p>
        </w:tc>
        <w:tc>
          <w:tcPr>
            <w:tcW w:type="dxa" w:w="7704"/>
            <w:vAlign w:val="center"/>
          </w:tcPr>
          <w:p>
            <w:pPr>
              <w:spacing w:after="20"/>
            </w:pPr>
            <w:r/>
            <w:r>
              <w:rPr>
                <w:b w:val="0"/>
                <w:sz w:val="16"/>
              </w:rPr>
              <w:t>The Gildenhall and Anvilcross on-premises servers remain temporarily supported during the operating cycle. They are bounded transition components, not competing current systems of record.</w:t>
            </w:r>
          </w:p>
        </w:tc>
      </w:tr>
    </w:tbl>
    <w:p>
      <w:pPr>
        <w:spacing w:after="0"/>
      </w:pPr>
    </w:p>
    <w:p>
      <w:pPr>
        <w:spacing w:after="50"/>
      </w:pPr>
      <w:r>
        <w:t>For dispatch staff: enter and manage the active call on the CAD operational path. For records staff: use the consolidated records tier for current record work after cutover. If the interface is delayed or unavailable, follow the controlled queue and reconciliation procedure; do not create parallel updates in a retained server.</w:t>
      </w:r>
    </w:p>
    <w:p>
      <w:pPr>
        <w:pStyle w:val="Heading1"/>
        <w:spacing w:after="50"/>
      </w:pPr>
      <w:r>
        <w:t>Why this configuration; why the others are ruled out</w:t>
      </w:r>
    </w:p>
    <w:tbl>
      <w:tblPr>
        <w:tblStyle w:val="TableGrid"/>
        <w:tblW w:type="auto" w:w="0"/>
        <w:jc w:val="center"/>
        <w:tblLook w:firstColumn="1" w:firstRow="1" w:lastColumn="0" w:lastRow="0" w:noHBand="0" w:noVBand="1" w:val="04A0"/>
      </w:tblPr>
      <w:tblGrid>
        <w:gridCol w:w="5227"/>
        <w:gridCol w:w="5227"/>
      </w:tblGrid>
      <w:tr>
        <w:tc>
          <w:tcPr>
            <w:tcW w:type="dxa" w:w="2664"/>
            <w:vAlign w:val="center"/>
            <w:shd w:fill="D9EAF7"/>
          </w:tcPr>
          <w:p>
            <w:pPr>
              <w:spacing w:after="20"/>
            </w:pPr>
            <w:r/>
            <w:r>
              <w:rPr>
                <w:b/>
                <w:sz w:val="16"/>
              </w:rPr>
              <w:t>Configuration</w:t>
            </w:r>
          </w:p>
        </w:tc>
        <w:tc>
          <w:tcPr>
            <w:tcW w:type="dxa" w:w="6984"/>
            <w:vAlign w:val="center"/>
            <w:shd w:fill="D9EAF7"/>
          </w:tcPr>
          <w:p>
            <w:pPr>
              <w:spacing w:after="20"/>
            </w:pPr>
            <w:r/>
            <w:r>
              <w:rPr>
                <w:b/>
                <w:sz w:val="16"/>
              </w:rPr>
              <w:t>Decision reasoning</w:t>
            </w:r>
          </w:p>
        </w:tc>
      </w:tr>
      <w:tr>
        <w:tc>
          <w:tcPr>
            <w:tcW w:type="dxa" w:w="2664"/>
            <w:vAlign w:val="center"/>
          </w:tcPr>
          <w:p>
            <w:pPr>
              <w:spacing w:after="20"/>
            </w:pPr>
            <w:r/>
            <w:r>
              <w:rPr>
                <w:b w:val="0"/>
                <w:sz w:val="16"/>
              </w:rPr>
              <w:t>A — Centralized Core — rejected</w:t>
            </w:r>
          </w:p>
        </w:tc>
        <w:tc>
          <w:tcPr>
            <w:tcW w:type="dxa" w:w="6984"/>
            <w:vAlign w:val="center"/>
          </w:tcPr>
          <w:p>
            <w:pPr>
              <w:spacing w:after="20"/>
            </w:pPr>
            <w:r/>
            <w:r>
              <w:rPr>
                <w:b w:val="0"/>
                <w:sz w:val="16"/>
              </w:rPr>
              <w:t>It creates a clean single central location, but it routes dispatch call entry through the central location—the path dispatch reported as adding unacceptable delay. A simpler control boundary does not justify extra latency on dispatch-critical work.</w:t>
            </w:r>
          </w:p>
        </w:tc>
      </w:tr>
      <w:tr>
        <w:tc>
          <w:tcPr>
            <w:tcW w:type="dxa" w:w="2664"/>
            <w:vAlign w:val="center"/>
          </w:tcPr>
          <w:p>
            <w:pPr>
              <w:spacing w:after="20"/>
            </w:pPr>
            <w:r/>
            <w:r>
              <w:rPr>
                <w:b w:val="0"/>
                <w:sz w:val="16"/>
              </w:rPr>
              <w:t>B — Split-Path Regional Core — selected</w:t>
            </w:r>
          </w:p>
        </w:tc>
        <w:tc>
          <w:tcPr>
            <w:tcW w:type="dxa" w:w="6984"/>
            <w:vAlign w:val="center"/>
          </w:tcPr>
          <w:p>
            <w:pPr>
              <w:spacing w:after="20"/>
            </w:pPr>
            <w:r/>
            <w:r>
              <w:rPr>
                <w:b w:val="0"/>
                <w:sz w:val="16"/>
              </w:rPr>
              <w:t>It assigns each workload to the governing constraint: direct regional CAD routing for call entry, CJIS-bound records for protected current data. It permits temporary legacy coexistence and a focused migration. Its interface complexity is explicit and controlled through queueing, monitoring, reconciliation, and ownership rules.</w:t>
            </w:r>
          </w:p>
        </w:tc>
      </w:tr>
      <w:tr>
        <w:tc>
          <w:tcPr>
            <w:tcW w:type="dxa" w:w="2664"/>
            <w:vAlign w:val="center"/>
          </w:tcPr>
          <w:p>
            <w:pPr>
              <w:spacing w:after="20"/>
            </w:pPr>
            <w:r/>
            <w:r>
              <w:rPr>
                <w:b w:val="0"/>
                <w:sz w:val="16"/>
              </w:rPr>
              <w:t>C — Agency-Local Continuity — rejected</w:t>
            </w:r>
          </w:p>
        </w:tc>
        <w:tc>
          <w:tcPr>
            <w:tcW w:type="dxa" w:w="6984"/>
            <w:vAlign w:val="center"/>
          </w:tcPr>
          <w:p>
            <w:pPr>
              <w:spacing w:after="20"/>
            </w:pPr>
            <w:r/>
            <w:r>
              <w:rPr>
                <w:b w:val="0"/>
                <w:sz w:val="16"/>
              </w:rPr>
              <w:t>It supports local continuity, but leaves current records and historical conversion distributed and makes consistent records placement/control governance harder. It also risks extending the retained-server condition into an indefinite multi-authority arrangement.</w:t>
            </w:r>
          </w:p>
        </w:tc>
      </w:tr>
    </w:tbl>
    <w:p>
      <w:pPr>
        <w:spacing w:after="0"/>
      </w:pPr>
    </w:p>
    <w:p>
      <w:pPr>
        <w:spacing w:after="50"/>
      </w:pPr>
      <w:r>
        <w:t>Edge case resolution: when the lowest-latency location conflicts with records-location controls, latency governs only the CAD operational workload. CJIS records-location controls govern the records-data workload. The low-latency location must not host a records replica, backup, or privileged records administration function. The boundary is crossed by the controlled interface, not by relocating the records tier.</w:t>
      </w:r>
    </w:p>
    <w:p>
      <w:pPr>
        <w:pStyle w:val="Heading1"/>
        <w:spacing w:after="50"/>
      </w:pPr>
      <w:r>
        <w:t>Logical flow and control boundary</w:t>
      </w:r>
    </w:p>
    <w:tbl>
      <w:tblPr>
        <w:tblStyle w:val="TableGrid"/>
        <w:tblW w:type="auto" w:w="0"/>
        <w:jc w:val="center"/>
        <w:tblLook w:firstColumn="1" w:firstRow="1" w:lastColumn="0" w:lastRow="0" w:noHBand="0" w:noVBand="1" w:val="04A0"/>
      </w:tblPr>
      <w:tblGrid>
        <w:gridCol w:w="5227"/>
        <w:gridCol w:w="5227"/>
      </w:tblGrid>
      <w:tr>
        <w:tc>
          <w:tcPr>
            <w:tcW w:type="dxa" w:w="2952"/>
            <w:vAlign w:val="center"/>
            <w:shd w:fill="D9EAF7"/>
          </w:tcPr>
          <w:p>
            <w:pPr>
              <w:spacing w:after="20"/>
            </w:pPr>
            <w:r/>
            <w:r>
              <w:rPr>
                <w:b/>
                <w:sz w:val="16"/>
              </w:rPr>
              <w:t>Flow</w:t>
            </w:r>
          </w:p>
        </w:tc>
        <w:tc>
          <w:tcPr>
            <w:tcW w:type="dxa" w:w="6696"/>
            <w:vAlign w:val="center"/>
            <w:shd w:fill="D9EAF7"/>
          </w:tcPr>
          <w:p>
            <w:pPr>
              <w:spacing w:after="20"/>
            </w:pPr>
            <w:r/>
            <w:r>
              <w:rPr>
                <w:b/>
                <w:sz w:val="16"/>
              </w:rPr>
              <w:t>Control and ownership</w:t>
            </w:r>
          </w:p>
        </w:tc>
      </w:tr>
      <w:tr>
        <w:tc>
          <w:tcPr>
            <w:tcW w:type="dxa" w:w="2952"/>
            <w:vAlign w:val="center"/>
          </w:tcPr>
          <w:p>
            <w:pPr>
              <w:spacing w:after="20"/>
            </w:pPr>
            <w:r/>
            <w:r>
              <w:rPr>
                <w:b w:val="0"/>
                <w:sz w:val="16"/>
              </w:rPr>
              <w:t>1. Dispatch → CAD operational path</w:t>
            </w:r>
          </w:p>
        </w:tc>
        <w:tc>
          <w:tcPr>
            <w:tcW w:type="dxa" w:w="6696"/>
            <w:vAlign w:val="center"/>
          </w:tcPr>
          <w:p>
            <w:pPr>
              <w:spacing w:after="20"/>
            </w:pPr>
            <w:r/>
            <w:r>
              <w:rPr>
                <w:b w:val="0"/>
                <w:sz w:val="16"/>
              </w:rPr>
              <w:t>Direct call-entry and active-incident transactions stay regional. Dispatch supervisor owns continuity and degraded-mode invocation.</w:t>
            </w:r>
          </w:p>
        </w:tc>
      </w:tr>
      <w:tr>
        <w:tc>
          <w:tcPr>
            <w:tcW w:type="dxa" w:w="2952"/>
            <w:vAlign w:val="center"/>
          </w:tcPr>
          <w:p>
            <w:pPr>
              <w:spacing w:after="20"/>
            </w:pPr>
            <w:r/>
            <w:r>
              <w:rPr>
                <w:b w:val="0"/>
                <w:sz w:val="16"/>
              </w:rPr>
              <w:t>2. CAD → records interface</w:t>
            </w:r>
          </w:p>
        </w:tc>
        <w:tc>
          <w:tcPr>
            <w:tcW w:type="dxa" w:w="6696"/>
            <w:vAlign w:val="center"/>
          </w:tcPr>
          <w:p>
            <w:pPr>
              <w:spacing w:after="20"/>
            </w:pPr>
            <w:r/>
            <w:r>
              <w:rPr>
                <w:b w:val="0"/>
                <w:sz w:val="16"/>
              </w:rPr>
              <w:t>Durable outbound queue, message identifier, status monitoring, and exception report. Integration lead owns detection and reconciliation.</w:t>
            </w:r>
          </w:p>
        </w:tc>
      </w:tr>
      <w:tr>
        <w:tc>
          <w:tcPr>
            <w:tcW w:type="dxa" w:w="2952"/>
            <w:vAlign w:val="center"/>
          </w:tcPr>
          <w:p>
            <w:pPr>
              <w:spacing w:after="20"/>
            </w:pPr>
            <w:r/>
            <w:r>
              <w:rPr>
                <w:b w:val="0"/>
                <w:sz w:val="16"/>
              </w:rPr>
              <w:t>3. Interface → CJIS records tier</w:t>
            </w:r>
          </w:p>
        </w:tc>
        <w:tc>
          <w:tcPr>
            <w:tcW w:type="dxa" w:w="6696"/>
            <w:vAlign w:val="center"/>
          </w:tcPr>
          <w:p>
            <w:pPr>
              <w:spacing w:after="20"/>
            </w:pPr>
            <w:r/>
            <w:r>
              <w:rPr>
                <w:b w:val="0"/>
                <w:sz w:val="16"/>
              </w:rPr>
              <w:t>Records updates are processed in the approved boundary; the records tier establishes current-record authority. Records manager owns data validation.</w:t>
            </w:r>
          </w:p>
        </w:tc>
      </w:tr>
      <w:tr>
        <w:tc>
          <w:tcPr>
            <w:tcW w:type="dxa" w:w="2952"/>
            <w:vAlign w:val="center"/>
          </w:tcPr>
          <w:p>
            <w:pPr>
              <w:spacing w:after="20"/>
            </w:pPr>
            <w:r/>
            <w:r>
              <w:rPr>
                <w:b w:val="0"/>
                <w:sz w:val="16"/>
              </w:rPr>
              <w:t>4. Retained servers → conversion/access</w:t>
            </w:r>
          </w:p>
        </w:tc>
        <w:tc>
          <w:tcPr>
            <w:tcW w:type="dxa" w:w="6696"/>
            <w:vAlign w:val="center"/>
          </w:tcPr>
          <w:p>
            <w:pPr>
              <w:spacing w:after="20"/>
            </w:pPr>
            <w:r/>
            <w:r>
              <w:rPr>
                <w:b w:val="0"/>
                <w:sz w:val="16"/>
              </w:rPr>
              <w:t>One-way extract or controlled historical access only. New shared-current writes are restricted after cutover. Source identifiers remain attached to consolidated representations.</w:t>
            </w:r>
          </w:p>
        </w:tc>
      </w:tr>
    </w:tbl>
    <w:p>
      <w:pPr>
        <w:spacing w:after="0"/>
      </w:pPr>
    </w:p>
    <w:p>
      <w:pPr>
        <w:spacing w:after="50"/>
      </w:pPr>
      <w:r>
        <w:t>If real-time synchronization fails, the durable queue preserves the transaction state for controlled replay. The interface monitor raises an exception; the integration lead reconciles message identifiers and timestamps with records staff before the exception is closed. Where a process cannot be synchronized, staff use the approved degraded capture record, then reconcile it into the authoritative records tier. This is a controlled exception path, not permission for duplicate entry.</w:t>
      </w:r>
    </w:p>
    <w:p>
      <w:pPr>
        <w:pStyle w:val="Heading1"/>
        <w:spacing w:after="50"/>
      </w:pPr>
      <w:r>
        <w:t>Security, access, audit, and resilience</w:t>
      </w:r>
    </w:p>
    <w:p>
      <w:pPr>
        <w:pStyle w:val="ListBullet"/>
        <w:spacing w:after="24"/>
        <w:ind w:left="259" w:hanging="173"/>
      </w:pPr>
      <w:r>
        <w:t>CJIS control boundary: primary records, replicas, backups, recovery copies, and privileged administrative/support access remain inside the approved hosting and access boundary. Security validation is required before production; this plan does not assert certification.</w:t>
      </w:r>
    </w:p>
    <w:p>
      <w:pPr>
        <w:pStyle w:val="ListBullet"/>
        <w:spacing w:after="24"/>
        <w:ind w:left="259" w:hanging="173"/>
      </w:pPr>
      <w:r>
        <w:t>Access: role-based, least-privilege roles distinguish dispatch users, records users, and administrative users. Require managed authentication, account provisioning/deprovisioning, and separate approval for privileged access to protected records.</w:t>
      </w:r>
    </w:p>
    <w:p>
      <w:pPr>
        <w:pStyle w:val="ListBullet"/>
        <w:spacing w:after="24"/>
        <w:ind w:left="259" w:hanging="173"/>
      </w:pPr>
      <w:r>
        <w:t>Audit: log access to protected records and material record changes with accountable identity and time. The security owner defines review and retention evidence before production use.</w:t>
      </w:r>
    </w:p>
    <w:p>
      <w:pPr>
        <w:pStyle w:val="ListBullet"/>
        <w:spacing w:after="24"/>
        <w:ind w:left="259" w:hanging="173"/>
      </w:pPr>
      <w:r>
        <w:t>Availability: protect the records tier with backup and restore or a recovery arrangement that remains within the same CJIS boundary. Test restoration evidence before go-live.</w:t>
      </w:r>
    </w:p>
    <w:p>
      <w:pPr>
        <w:pStyle w:val="ListBullet"/>
        <w:spacing w:after="24"/>
        <w:ind w:left="259" w:hanging="173"/>
      </w:pPr>
      <w:r>
        <w:t>Dispatch continuity: a CAD or network interruption invokes the dispatch degraded-mode procedure, using controlled local capture for active work and replay/reconciliation after restoration. Continuity protects availability; access controls protect confidentiality and authorization—both remain required.</w:t>
      </w:r>
    </w:p>
    <w:p>
      <w:pPr>
        <w:pStyle w:val="Heading1"/>
        <w:spacing w:after="50"/>
      </w:pPr>
      <w:r>
        <w:t>Migration and coexistence: a constrained, defensible path</w:t>
      </w:r>
    </w:p>
    <w:p>
      <w:pPr>
        <w:spacing w:after="50"/>
      </w:pPr>
      <w:r>
        <w:t>The small team will not promise a full repeated textbook program in six weeks. Instead, it will use a risk-based minimum: one representative rehearsal, a focused conversion of the highest-risk record patterns, and evidence gates that protect dispatch continuity, CJIS controls, and data integrity. Historical scope remains all three agencies even if some lower-risk historical material is staged for controlled later ingestion rather than forcing an unsafe all-at-once cutover.</w:t>
      </w:r>
    </w:p>
    <w:tbl>
      <w:tblPr>
        <w:tblStyle w:val="TableGrid"/>
        <w:tblW w:type="auto" w:w="0"/>
        <w:jc w:val="center"/>
        <w:tblLook w:firstColumn="1" w:firstRow="1" w:lastColumn="0" w:lastRow="0" w:noHBand="0" w:noVBand="1" w:val="04A0"/>
      </w:tblPr>
      <w:tblGrid>
        <w:gridCol w:w="5227"/>
        <w:gridCol w:w="5227"/>
      </w:tblGrid>
      <w:tr>
        <w:tc>
          <w:tcPr>
            <w:tcW w:type="dxa" w:w="1944"/>
            <w:vAlign w:val="center"/>
            <w:shd w:fill="D9EAF7"/>
          </w:tcPr>
          <w:p>
            <w:pPr>
              <w:spacing w:after="20"/>
            </w:pPr>
            <w:r/>
            <w:r>
              <w:rPr>
                <w:b/>
                <w:sz w:val="16"/>
              </w:rPr>
              <w:t>Stage</w:t>
            </w:r>
          </w:p>
        </w:tc>
        <w:tc>
          <w:tcPr>
            <w:tcW w:type="dxa" w:w="7704"/>
            <w:vAlign w:val="center"/>
            <w:shd w:fill="D9EAF7"/>
          </w:tcPr>
          <w:p>
            <w:pPr>
              <w:spacing w:after="20"/>
            </w:pPr>
            <w:r/>
            <w:r>
              <w:rPr>
                <w:b/>
                <w:sz w:val="16"/>
              </w:rPr>
              <w:t>Required control</w:t>
            </w:r>
          </w:p>
        </w:tc>
      </w:tr>
      <w:tr>
        <w:tc>
          <w:tcPr>
            <w:tcW w:type="dxa" w:w="1944"/>
            <w:vAlign w:val="center"/>
          </w:tcPr>
          <w:p>
            <w:pPr>
              <w:spacing w:after="20"/>
            </w:pPr>
            <w:r/>
            <w:r>
              <w:rPr>
                <w:b w:val="0"/>
                <w:sz w:val="16"/>
              </w:rPr>
              <w:t>Prepare</w:t>
            </w:r>
          </w:p>
        </w:tc>
        <w:tc>
          <w:tcPr>
            <w:tcW w:type="dxa" w:w="7704"/>
            <w:vAlign w:val="center"/>
          </w:tcPr>
          <w:p>
            <w:pPr>
              <w:spacing w:after="20"/>
            </w:pPr>
            <w:r/>
            <w:r>
              <w:rPr>
                <w:b w:val="0"/>
                <w:sz w:val="16"/>
              </w:rPr>
              <w:t>Inventory source identifiers and NIBRS Group A mappings/crosswalks; establish extraction read boundaries; assign records reviewers. Label unresolved source conditions as exceptions.</w:t>
            </w:r>
          </w:p>
        </w:tc>
      </w:tr>
      <w:tr>
        <w:tc>
          <w:tcPr>
            <w:tcW w:type="dxa" w:w="1944"/>
            <w:vAlign w:val="center"/>
          </w:tcPr>
          <w:p>
            <w:pPr>
              <w:spacing w:after="20"/>
            </w:pPr>
            <w:r/>
            <w:r>
              <w:rPr>
                <w:b w:val="0"/>
                <w:sz w:val="16"/>
              </w:rPr>
              <w:t>Rehearse once</w:t>
            </w:r>
          </w:p>
        </w:tc>
        <w:tc>
          <w:tcPr>
            <w:tcW w:type="dxa" w:w="7704"/>
            <w:vAlign w:val="center"/>
          </w:tcPr>
          <w:p>
            <w:pPr>
              <w:spacing w:after="20"/>
            </w:pPr>
            <w:r/>
            <w:r>
              <w:rPr>
                <w:b w:val="0"/>
                <w:sz w:val="16"/>
              </w:rPr>
              <w:t>Run a representative conversion and reconciliation. Compare source counts/identifiers, inspect mapping results, test interface failure/replay, restore evidence, and dispatch workflow responsiveness.</w:t>
            </w:r>
          </w:p>
        </w:tc>
      </w:tr>
      <w:tr>
        <w:tc>
          <w:tcPr>
            <w:tcW w:type="dxa" w:w="1944"/>
            <w:vAlign w:val="center"/>
          </w:tcPr>
          <w:p>
            <w:pPr>
              <w:spacing w:after="20"/>
            </w:pPr>
            <w:r/>
            <w:r>
              <w:rPr>
                <w:b w:val="0"/>
                <w:sz w:val="16"/>
              </w:rPr>
              <w:t>Cut over active work</w:t>
            </w:r>
          </w:p>
        </w:tc>
        <w:tc>
          <w:tcPr>
            <w:tcW w:type="dxa" w:w="7704"/>
            <w:vAlign w:val="center"/>
          </w:tcPr>
          <w:p>
            <w:pPr>
              <w:spacing w:after="20"/>
            </w:pPr>
            <w:r/>
            <w:r>
              <w:rPr>
                <w:b w:val="0"/>
                <w:sz w:val="16"/>
              </w:rPr>
              <w:t>At the declared handoff, preserve a time-stamped active-incident roster. Capture transactions created during the transition for replay; reconcile every captured item before declaring normal operation. Retain a rollback point before irreversible conversion activation.</w:t>
            </w:r>
          </w:p>
        </w:tc>
      </w:tr>
      <w:tr>
        <w:tc>
          <w:tcPr>
            <w:tcW w:type="dxa" w:w="1944"/>
            <w:vAlign w:val="center"/>
          </w:tcPr>
          <w:p>
            <w:pPr>
              <w:spacing w:after="20"/>
            </w:pPr>
            <w:r/>
            <w:r>
              <w:rPr>
                <w:b w:val="0"/>
                <w:sz w:val="16"/>
              </w:rPr>
              <w:t>Coexist temporarily</w:t>
            </w:r>
          </w:p>
        </w:tc>
        <w:tc>
          <w:tcPr>
            <w:tcW w:type="dxa" w:w="7704"/>
            <w:vAlign w:val="center"/>
          </w:tcPr>
          <w:p>
            <w:pPr>
              <w:spacing w:after="20"/>
            </w:pPr>
            <w:r/>
            <w:r>
              <w:rPr>
                <w:b w:val="0"/>
                <w:sz w:val="16"/>
              </w:rPr>
              <w:t>Restrict retained servers from new shared-current updates. Use them only for their defined transition purpose; use one-way extracts or controlled historical access. Reconcile interfaces and exception queues daily during the transition.</w:t>
            </w:r>
          </w:p>
        </w:tc>
      </w:tr>
      <w:tr>
        <w:tc>
          <w:tcPr>
            <w:tcW w:type="dxa" w:w="1944"/>
            <w:vAlign w:val="center"/>
          </w:tcPr>
          <w:p>
            <w:pPr>
              <w:spacing w:after="20"/>
            </w:pPr>
            <w:r/>
            <w:r>
              <w:rPr>
                <w:b w:val="0"/>
                <w:sz w:val="16"/>
              </w:rPr>
              <w:t>Exit retention</w:t>
            </w:r>
          </w:p>
        </w:tc>
        <w:tc>
          <w:tcPr>
            <w:tcW w:type="dxa" w:w="7704"/>
            <w:vAlign w:val="center"/>
          </w:tcPr>
          <w:p>
            <w:pPr>
              <w:spacing w:after="20"/>
            </w:pPr>
            <w:r/>
            <w:r>
              <w:rPr>
                <w:b w:val="0"/>
                <w:sz w:val="16"/>
              </w:rPr>
              <w:t>After the operating-cycle restriction ends, Director Oyekunle reviews completion evidence, preservation obligations, and recovery need before authorizing controlled legacy-server disposition. No automatic retirement is assumed.</w:t>
            </w:r>
          </w:p>
        </w:tc>
      </w:tr>
    </w:tbl>
    <w:p>
      <w:pPr>
        <w:spacing w:after="0"/>
      </w:pPr>
    </w:p>
    <w:p>
      <w:pPr>
        <w:spacing w:after="50"/>
      </w:pPr>
      <w:r>
        <w:t>Data quality and lineage: each consolidated historical record must retain the agency/source identifier and a conversion audit reference. Preserve the original NIBRS Group A value or an approved traceable crosswalk. Unmapped, ambiguous, failed, or conflicting records go to a quarantined exception queue; the records manager assigns review and disposition. They are neither silently discarded nor automatically reclassified.</w:t>
      </w:r>
    </w:p>
    <w:p>
      <w:pPr>
        <w:pStyle w:val="Heading1"/>
        <w:spacing w:after="50"/>
      </w:pPr>
      <w:r>
        <w:t>Readiness evidence, owners, and six-week discovery package</w:t>
      </w:r>
    </w:p>
    <w:tbl>
      <w:tblPr>
        <w:tblStyle w:val="TableGrid"/>
        <w:tblW w:type="auto" w:w="0"/>
        <w:jc w:val="center"/>
        <w:tblLook w:firstColumn="1" w:firstRow="1" w:lastColumn="0" w:lastRow="0" w:noHBand="0" w:noVBand="1" w:val="04A0"/>
      </w:tblPr>
      <w:tblGrid>
        <w:gridCol w:w="5227"/>
        <w:gridCol w:w="5227"/>
      </w:tblGrid>
      <w:tr>
        <w:tc>
          <w:tcPr>
            <w:tcW w:type="dxa" w:w="2808"/>
            <w:vAlign w:val="center"/>
            <w:shd w:fill="D9EAF7"/>
          </w:tcPr>
          <w:p>
            <w:pPr>
              <w:spacing w:after="20"/>
            </w:pPr>
            <w:r/>
            <w:r>
              <w:rPr>
                <w:b/>
                <w:sz w:val="16"/>
              </w:rPr>
              <w:t>Owner</w:t>
            </w:r>
          </w:p>
        </w:tc>
        <w:tc>
          <w:tcPr>
            <w:tcW w:type="dxa" w:w="6840"/>
            <w:vAlign w:val="center"/>
            <w:shd w:fill="D9EAF7"/>
          </w:tcPr>
          <w:p>
            <w:pPr>
              <w:spacing w:after="20"/>
            </w:pPr>
            <w:r/>
            <w:r>
              <w:rPr>
                <w:b/>
                <w:sz w:val="16"/>
              </w:rPr>
              <w:t>Accountability before production / discovery close</w:t>
            </w:r>
          </w:p>
        </w:tc>
      </w:tr>
      <w:tr>
        <w:tc>
          <w:tcPr>
            <w:tcW w:type="dxa" w:w="2808"/>
            <w:vAlign w:val="center"/>
          </w:tcPr>
          <w:p>
            <w:pPr>
              <w:spacing w:after="20"/>
            </w:pPr>
            <w:r/>
            <w:r>
              <w:rPr>
                <w:b w:val="0"/>
                <w:sz w:val="16"/>
              </w:rPr>
              <w:t>Director Hallam Oyekunle</w:t>
            </w:r>
          </w:p>
        </w:tc>
        <w:tc>
          <w:tcPr>
            <w:tcW w:type="dxa" w:w="6840"/>
            <w:vAlign w:val="center"/>
          </w:tcPr>
          <w:p>
            <w:pPr>
              <w:spacing w:after="20"/>
            </w:pPr>
            <w:r/>
            <w:r>
              <w:rPr>
                <w:b w:val="0"/>
                <w:sz w:val="16"/>
              </w:rPr>
              <w:t>Architecture decision authority, go/no-go approval, and escalation decision when a new constraint invalidates the selected boundary.</w:t>
            </w:r>
          </w:p>
        </w:tc>
      </w:tr>
      <w:tr>
        <w:tc>
          <w:tcPr>
            <w:tcW w:type="dxa" w:w="2808"/>
            <w:vAlign w:val="center"/>
          </w:tcPr>
          <w:p>
            <w:pPr>
              <w:spacing w:after="20"/>
            </w:pPr>
            <w:r/>
            <w:r>
              <w:rPr>
                <w:b w:val="0"/>
                <w:sz w:val="16"/>
              </w:rPr>
              <w:t>Sgt. Bronwyn Szymanski, Dispatch supervisor</w:t>
            </w:r>
          </w:p>
        </w:tc>
        <w:tc>
          <w:tcPr>
            <w:tcW w:type="dxa" w:w="6840"/>
            <w:vAlign w:val="center"/>
          </w:tcPr>
          <w:p>
            <w:pPr>
              <w:spacing w:after="20"/>
            </w:pPr>
            <w:r/>
            <w:r>
              <w:rPr>
                <w:b w:val="0"/>
                <w:sz w:val="16"/>
              </w:rPr>
              <w:t>Dispatch continuity owner; confirms active-incident handoff, degraded-mode procedure, and observed call-entry responsiveness on the chosen operational path.</w:t>
            </w:r>
          </w:p>
        </w:tc>
      </w:tr>
      <w:tr>
        <w:tc>
          <w:tcPr>
            <w:tcW w:type="dxa" w:w="2808"/>
            <w:vAlign w:val="center"/>
          </w:tcPr>
          <w:p>
            <w:pPr>
              <w:spacing w:after="20"/>
            </w:pPr>
            <w:r/>
            <w:r>
              <w:rPr>
                <w:b w:val="0"/>
                <w:sz w:val="16"/>
              </w:rPr>
              <w:t>Wilhelmina Vanterpool, Records manager</w:t>
            </w:r>
          </w:p>
        </w:tc>
        <w:tc>
          <w:tcPr>
            <w:tcW w:type="dxa" w:w="6840"/>
            <w:vAlign w:val="center"/>
          </w:tcPr>
          <w:p>
            <w:pPr>
              <w:spacing w:after="20"/>
            </w:pPr>
            <w:r/>
            <w:r>
              <w:rPr>
                <w:b w:val="0"/>
                <w:sz w:val="16"/>
              </w:rPr>
              <w:t>Owns historical completeness reconciliation, source lineage, NIBRS Group A mapping/crosswalk assurance, and exception disposition.</w:t>
            </w:r>
          </w:p>
        </w:tc>
      </w:tr>
      <w:tr>
        <w:tc>
          <w:tcPr>
            <w:tcW w:type="dxa" w:w="2808"/>
            <w:vAlign w:val="center"/>
          </w:tcPr>
          <w:p>
            <w:pPr>
              <w:spacing w:after="20"/>
            </w:pPr>
            <w:r/>
            <w:r>
              <w:rPr>
                <w:b w:val="0"/>
                <w:sz w:val="16"/>
              </w:rPr>
              <w:t>Kenji Zamora, Security owner</w:t>
            </w:r>
          </w:p>
        </w:tc>
        <w:tc>
          <w:tcPr>
            <w:tcW w:type="dxa" w:w="6840"/>
            <w:vAlign w:val="center"/>
          </w:tcPr>
          <w:p>
            <w:pPr>
              <w:spacing w:after="20"/>
            </w:pPr>
            <w:r/>
            <w:r>
              <w:rPr>
                <w:b w:val="0"/>
                <w:sz w:val="16"/>
              </w:rPr>
              <w:t>Validates CJIS boundary, access lifecycle, privileged access, logging, and records backup/recovery placement before production use.</w:t>
            </w:r>
          </w:p>
        </w:tc>
      </w:tr>
      <w:tr>
        <w:tc>
          <w:tcPr>
            <w:tcW w:type="dxa" w:w="2808"/>
            <w:vAlign w:val="center"/>
          </w:tcPr>
          <w:p>
            <w:pPr>
              <w:spacing w:after="20"/>
            </w:pPr>
            <w:r/>
            <w:r>
              <w:rPr>
                <w:b w:val="0"/>
                <w:sz w:val="16"/>
              </w:rPr>
              <w:t>Anders Sorensen, Integration lead</w:t>
            </w:r>
          </w:p>
        </w:tc>
        <w:tc>
          <w:tcPr>
            <w:tcW w:type="dxa" w:w="6840"/>
            <w:vAlign w:val="center"/>
          </w:tcPr>
          <w:p>
            <w:pPr>
              <w:spacing w:after="20"/>
            </w:pPr>
            <w:r/>
            <w:r>
              <w:rPr>
                <w:b w:val="0"/>
                <w:sz w:val="16"/>
              </w:rPr>
              <w:t>Owns interface monitoring, durable queue, failure alerting, replay, reconciliation, and retained-server write restrictions.</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2088"/>
            <w:vAlign w:val="center"/>
            <w:shd w:fill="D9EAF7"/>
          </w:tcPr>
          <w:p>
            <w:pPr>
              <w:spacing w:after="20"/>
            </w:pPr>
            <w:r/>
            <w:r>
              <w:rPr>
                <w:b/>
                <w:sz w:val="16"/>
              </w:rPr>
              <w:t>By the end of...</w:t>
            </w:r>
          </w:p>
        </w:tc>
        <w:tc>
          <w:tcPr>
            <w:tcW w:type="dxa" w:w="7560"/>
            <w:vAlign w:val="center"/>
            <w:shd w:fill="D9EAF7"/>
          </w:tcPr>
          <w:p>
            <w:pPr>
              <w:spacing w:after="20"/>
            </w:pPr>
            <w:r/>
            <w:r>
              <w:rPr>
                <w:b/>
                <w:sz w:val="16"/>
              </w:rPr>
              <w:t>Evidence / decision required</w:t>
            </w:r>
          </w:p>
        </w:tc>
      </w:tr>
      <w:tr>
        <w:tc>
          <w:tcPr>
            <w:tcW w:type="dxa" w:w="2088"/>
            <w:vAlign w:val="center"/>
          </w:tcPr>
          <w:p>
            <w:pPr>
              <w:spacing w:after="20"/>
            </w:pPr>
            <w:r/>
            <w:r>
              <w:rPr>
                <w:b w:val="0"/>
                <w:sz w:val="16"/>
              </w:rPr>
              <w:t>Weeks 1–2</w:t>
            </w:r>
          </w:p>
        </w:tc>
        <w:tc>
          <w:tcPr>
            <w:tcW w:type="dxa" w:w="7560"/>
            <w:vAlign w:val="center"/>
          </w:tcPr>
          <w:p>
            <w:pPr>
              <w:spacing w:after="20"/>
            </w:pPr>
            <w:r/>
            <w:r>
              <w:rPr>
                <w:b w:val="0"/>
                <w:sz w:val="16"/>
              </w:rPr>
              <w:t>Freeze target boundary; confirm retained-server roles; inventory historical sources and NIBRS mappings; define access, audit, and interface evidence.</w:t>
            </w:r>
          </w:p>
        </w:tc>
      </w:tr>
      <w:tr>
        <w:tc>
          <w:tcPr>
            <w:tcW w:type="dxa" w:w="2088"/>
            <w:vAlign w:val="center"/>
          </w:tcPr>
          <w:p>
            <w:pPr>
              <w:spacing w:after="20"/>
            </w:pPr>
            <w:r/>
            <w:r>
              <w:rPr>
                <w:b w:val="0"/>
                <w:sz w:val="16"/>
              </w:rPr>
              <w:t>Weeks 3–4</w:t>
            </w:r>
          </w:p>
        </w:tc>
        <w:tc>
          <w:tcPr>
            <w:tcW w:type="dxa" w:w="7560"/>
            <w:vAlign w:val="center"/>
          </w:tcPr>
          <w:p>
            <w:pPr>
              <w:spacing w:after="20"/>
            </w:pPr>
            <w:r/>
            <w:r>
              <w:rPr>
                <w:b w:val="0"/>
                <w:sz w:val="16"/>
              </w:rPr>
              <w:t>Complete representative rehearsal; demonstrate dispatch-path responsiveness without added central routing; test queue/replay and controlled records access.</w:t>
            </w:r>
          </w:p>
        </w:tc>
      </w:tr>
      <w:tr>
        <w:tc>
          <w:tcPr>
            <w:tcW w:type="dxa" w:w="2088"/>
            <w:vAlign w:val="center"/>
          </w:tcPr>
          <w:p>
            <w:pPr>
              <w:spacing w:after="20"/>
            </w:pPr>
            <w:r/>
            <w:r>
              <w:rPr>
                <w:b w:val="0"/>
                <w:sz w:val="16"/>
              </w:rPr>
              <w:t>Weeks 5–6</w:t>
            </w:r>
          </w:p>
        </w:tc>
        <w:tc>
          <w:tcPr>
            <w:tcW w:type="dxa" w:w="7560"/>
            <w:vAlign w:val="center"/>
          </w:tcPr>
          <w:p>
            <w:pPr>
              <w:spacing w:after="20"/>
            </w:pPr>
            <w:r/>
            <w:r>
              <w:rPr>
                <w:b w:val="0"/>
                <w:sz w:val="16"/>
              </w:rPr>
              <w:t>Complete reconciliation review, recovery evidence, owner sign-offs, and discovery package: target boundary, data scope, operational flows, validation evidence, and unresolved risks with escalation triggers.</w:t>
            </w:r>
          </w:p>
        </w:tc>
      </w:tr>
    </w:tbl>
    <w:p>
      <w:pPr>
        <w:spacing w:after="0"/>
      </w:pPr>
    </w:p>
    <w:p>
      <w:pPr>
        <w:spacing w:after="50"/>
      </w:pPr>
      <w:r>
        <w:t>Go/no-go is evidence-based, not date-based: dispatch confirms workable active-call and degraded operations; records confirms all three agencies’ reconciliation and NIBRS mapping review; security confirms the required CJIS boundary, access, logging, and recovery evidence; integration confirms queue/replay reconciliation. A newly found condition that would place records outside the boundary, add dispatch call-entry latency, or break data lineage is escalated immediately to Director Oyekunle for change control; it does not get normalized in the field.</w:t>
      </w:r>
    </w:p>
    <w:p>
      <w:pPr>
        <w:pStyle w:val="Heading1"/>
        <w:spacing w:after="50"/>
      </w:pPr>
      <w:r>
        <w:t>Assumptions and exclusions</w:t>
      </w:r>
    </w:p>
    <w:p>
      <w:pPr>
        <w:spacing w:after="50"/>
      </w:pPr>
      <w:r>
        <w:t>Assumptions (proposed controls, not source facts): the authority will designate the named roles or equivalents, maintain a durable interface queue, and adopt a dispatch degraded-mode procedure. The notes do not establish a numeric latency threshold, a retention period, vendor performance, capacity, or a compliance certification; therefore this plan requires observable validation rather than inventing those facts. Procurement pricing and vendor click-by-click procedures are out of scope.</w:t>
      </w:r>
    </w:p>
    <w:p>
      <w:pPr>
        <w:pStyle w:val="Heading1"/>
        <w:spacing w:after="50"/>
      </w:pPr>
      <w:r>
        <w:t>Decision</w:t>
      </w:r>
    </w:p>
    <w:p>
      <w:pPr>
        <w:spacing w:after="50"/>
      </w:pPr>
      <w:r>
        <w:t>Director Oyekunle should approve Configuration B — Split-Path Regional Core as the single target configuration for vendor discovery: direct regional CAD operations for dispatch, a CJIS-bound authoritative records tier, controlled interface-based synchronization, and bounded temporary retention of the Gildenhall and Anvilcross servers. This is the decision.</w:t>
      </w:r>
    </w:p>
    <w:sectPr w:rsidR="00FC693F" w:rsidRPr="0006063C" w:rsidSect="00034616">
      <w:footerReference w:type="default" r:id="rId9"/>
      <w:pgSz w:w="12240" w:h="15840"/>
      <w:pgMar w:top="749"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Cattermole Valley Regional Dispatch Authority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