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Clearwater Board Receiving Controls</w:t>
      </w:r>
    </w:p>
    <w:p>
      <w:r>
        <w:t>Night receiving control standard • effective 05 October 2026</w:t>
      </w:r>
    </w:p>
    <w:p>
      <w:pPr>
        <w:pStyle w:val="Heading1"/>
      </w:pPr>
      <w:r>
        <w:t>Staffing</w:t>
      </w:r>
    </w:p>
    <w:p>
      <w:r>
        <w:t>Exactly two clerks work Night and two remain Day on every authorized rail date. At least one qualified rail-bill/WMS clerk is on each shift.</w:t>
      </w:r>
    </w:p>
    <w:p>
      <w:pPr>
        <w:pStyle w:val="Heading1"/>
      </w:pPr>
      <w:r>
        <w:t>Training</w:t>
      </w:r>
    </w:p>
    <w:p>
      <w:r>
        <w:t>Agnes Pemberton starts with 8 witnessed hours; threshold is 40 hours. Each eligible Night shift with Pascal Ellingsen or Mirela Wainwright as same-shift trainer contributes 8 hours. Deadline: 06:00 on 06 November 2026.</w:t>
      </w:r>
    </w:p>
    <w:p>
      <w:pPr>
        <w:pStyle w:val="Heading1"/>
      </w:pPr>
      <w:r>
        <w:t>Recovery</w:t>
      </w:r>
    </w:p>
    <w:p>
      <w:r>
        <w:t>No more than three nights in a Monday–Sunday week and no more than two consecutive authorized rail nights. Separate 22-Oct night from 23-Oct day-control; separate 10-Nov night from 11-Nov inventory close.</w:t>
      </w:r>
    </w:p>
    <w:p>
      <w:pPr>
        <w:pStyle w:val="Heading1"/>
      </w:pPr>
      <w:r>
        <w:t>Priorities</w:t>
      </w:r>
    </w:p>
    <w:p>
      <w:r>
        <w:t>Minimize uncovered mandatory criteria; then minimize Pascal/Mirela pre-qualification nights; then maximize Agnes hour margin; then balance Pascal/Mirela night counts; then prefer lower risk ranks.</w:t>
      </w:r>
    </w:p>
    <w:p>
      <w:pPr>
        <w:pStyle w:val="Heading1"/>
      </w:pPr>
      <w:r>
        <w:t>Reason codes</w:t>
      </w:r>
    </w:p>
    <w:p>
      <w:r>
        <w:t>NIGHT_WMS, DAY_BACKUP, SIGNOFF, TRAINER, DAY_CONTROL, SPECIALIST, RECOVERY, STANDARD_COVER</w:t>
      </w:r>
    </w:p>
    <w:p>
      <w:pPr>
        <w:pStyle w:val="Heading1"/>
      </w:pPr>
      <w:r>
        <w:t>Authorization</w:t>
      </w:r>
    </w:p>
    <w:p>
      <w:r>
        <w:t>Use status vocabulary exactly: Authorized for posting; Not selected.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