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Bellhaven membership case</w:t>
      </w:r>
    </w:p>
    <w:p>
      <w:pPr>
        <w:spacing w:after="100"/>
      </w:pPr>
      <w:r>
        <w:rPr>
          <w:b/>
          <w:color w:val="2C5F78"/>
          <w:sz w:val="21"/>
        </w:rPr>
        <w:t>Decision paper for the Bellhaven school district board and finance committee</w:t>
      </w:r>
    </w:p>
    <w:p>
      <w:pPr>
        <w:spacing w:after="120"/>
      </w:pPr>
      <w:r>
        <w:rPr>
          <w:i/>
        </w:rPr>
        <w:t>Prepared for Harriet Blaylock by Tomás Okwuosa, Finance Manager, Greymarch Public Entity Risk Pool  |  Decision window: finance committee in six weeks</w:t>
      </w:r>
    </w:p>
    <w:p>
      <w:pPr>
        <w:pStyle w:val="Heading1"/>
      </w:pPr>
      <w:r>
        <w:t>Decision in brief</w:t>
      </w:r>
    </w:p>
    <w:p>
      <w:r>
        <w:rPr>
          <w:b/>
        </w:rPr>
        <w:t xml:space="preserve">Recommendation: </w:t>
      </w:r>
      <w:r>
        <w:t>approve Bellhaven’s admission to Greymarch for a three-year initial term, subject to a documented cap on any additional assessment and receipt of the evidence listed in “Before the vote.” This is one recommendation, not a claim that pooling is automatically cheaper.</w:t>
      </w:r>
    </w:p>
    <w:p>
      <w:pPr>
        <w:pStyle w:val="ListBullet"/>
        <w:spacing w:after="30"/>
        <w:ind w:left="259"/>
      </w:pPr>
      <w:r>
        <w:t>Material weakness first: membership can expose Bellhaven to an additional assessment after an adverse pool year. A contribution is a planned charge; an assessment is a contingent call under the governing documents and can arrive outside the adopted budget.</w:t>
      </w:r>
    </w:p>
    <w:p>
      <w:pPr>
        <w:pStyle w:val="ListBullet"/>
        <w:spacing w:after="30"/>
        <w:ind w:left="259"/>
      </w:pPr>
      <w:r>
        <w:t>Illustrative decision anchor (not a quote or verified pool fact): over three years, commercial cover is modelled at $1.80m fixed premium; Greymarch is $1.50m contribution plus a $0.30m adverse assessment sensitivity, or $1.80m. The base case is $1.50m; the downside case removes the apparent saving.</w:t>
      </w:r>
    </w:p>
    <w:p>
      <w:pPr>
        <w:pStyle w:val="ListBullet"/>
        <w:spacing w:after="30"/>
        <w:ind w:left="259"/>
      </w:pPr>
      <w:r>
        <w:t>The qualification matters more than the headline: join only if the call cap, funding waterfall, voting rule, claims authority, and withdrawal tail are confirmed in signed documents. Without that evidence, the board should not treat the model as decision-ready.</w:t>
      </w:r>
    </w:p>
    <w:p>
      <w:pPr>
        <w:pStyle w:val="Heading1"/>
      </w:pPr>
      <w:r>
        <w:t>1. What changes for Bellhaven</w:t>
      </w:r>
    </w:p>
    <w:p>
      <w:r>
        <w:rPr>
          <w:b/>
        </w:rPr>
        <w:t xml:space="preserve">Definitions. </w:t>
      </w:r>
      <w:r>
        <w:t>A membership contribution is the scheduled amount budgeted for the pool year. An assessment is an additional amount that the pool may levy under its agreement when claims, expenses, reserve deficiency or reinsurance failure exceed available funding. Retained risk is the loss, deductible, excluded peril, duty or timing exposure that stays with Bellhaven after pooling or insurance.</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1944"/>
            <w:vAlign w:val="center"/>
            <w:shd w:fill="24556B"/>
          </w:tcPr>
          <w:p>
            <w:pPr>
              <w:spacing w:after="0"/>
            </w:pPr>
            <w:r/>
            <w:r>
              <w:rPr>
                <w:rFonts w:ascii="Aptos" w:hAnsi="Aptos"/>
                <w:b/>
                <w:color w:val="FFFFFF"/>
                <w:sz w:val="16"/>
              </w:rPr>
              <w:t>Risk / responsibility</w:t>
            </w:r>
          </w:p>
        </w:tc>
        <w:tc>
          <w:tcPr>
            <w:tcW w:type="dxa" w:w="4032"/>
            <w:vAlign w:val="center"/>
            <w:shd w:fill="24556B"/>
          </w:tcPr>
          <w:p>
            <w:pPr>
              <w:spacing w:after="0"/>
            </w:pPr>
            <w:r/>
            <w:r>
              <w:rPr>
                <w:rFonts w:ascii="Aptos" w:hAnsi="Aptos"/>
                <w:b/>
                <w:color w:val="FFFFFF"/>
                <w:sz w:val="16"/>
              </w:rPr>
              <w:t>Commercial insurance today</w:t>
            </w:r>
          </w:p>
        </w:tc>
        <w:tc>
          <w:tcPr>
            <w:tcW w:type="dxa" w:w="4032"/>
            <w:vAlign w:val="center"/>
            <w:shd w:fill="24556B"/>
          </w:tcPr>
          <w:p>
            <w:pPr>
              <w:spacing w:after="0"/>
            </w:pPr>
            <w:r/>
            <w:r>
              <w:rPr>
                <w:rFonts w:ascii="Aptos" w:hAnsi="Aptos"/>
                <w:b/>
                <w:color w:val="FFFFFF"/>
                <w:sz w:val="16"/>
              </w:rPr>
              <w:t>Greymarch membership (proposed)</w:t>
            </w:r>
          </w:p>
        </w:tc>
      </w:tr>
      <w:tr>
        <w:trPr>
          <w:cantSplit/>
        </w:trPr>
        <w:tc>
          <w:tcPr>
            <w:tcW w:type="dxa" w:w="1944"/>
            <w:vAlign w:val="center"/>
            <w:shd w:fill="F1F5F6"/>
          </w:tcPr>
          <w:p>
            <w:pPr>
              <w:spacing w:after="0"/>
            </w:pPr>
            <w:r/>
            <w:r>
              <w:rPr>
                <w:rFonts w:ascii="Aptos" w:hAnsi="Aptos"/>
                <w:b w:val="0"/>
                <w:sz w:val="16"/>
              </w:rPr>
              <w:t>Large covered losses</w:t>
            </w:r>
          </w:p>
        </w:tc>
        <w:tc>
          <w:tcPr>
            <w:tcW w:type="dxa" w:w="4032"/>
            <w:vAlign w:val="center"/>
            <w:shd w:fill="F1F5F6"/>
          </w:tcPr>
          <w:p>
            <w:pPr>
              <w:spacing w:after="0"/>
            </w:pPr>
            <w:r/>
            <w:r>
              <w:rPr>
                <w:rFonts w:ascii="Aptos" w:hAnsi="Aptos"/>
                <w:b w:val="0"/>
                <w:sz w:val="16"/>
              </w:rPr>
              <w:t>Transfer to insurer subject to policy limit, deductible, exclusions and insurer solvency.</w:t>
            </w:r>
          </w:p>
        </w:tc>
        <w:tc>
          <w:tcPr>
            <w:tcW w:type="dxa" w:w="4032"/>
            <w:vAlign w:val="center"/>
            <w:shd w:fill="F1F5F6"/>
          </w:tcPr>
          <w:p>
            <w:pPr>
              <w:spacing w:after="0"/>
            </w:pPr>
            <w:r/>
            <w:r>
              <w:rPr>
                <w:rFonts w:ascii="Aptos" w:hAnsi="Aptos"/>
                <w:b w:val="0"/>
                <w:sz w:val="16"/>
              </w:rPr>
              <w:t>Transfer to pool subject to coverage terms, retained layers, available claims funds and pool solvency.</w:t>
            </w:r>
          </w:p>
        </w:tc>
      </w:tr>
      <w:tr>
        <w:trPr>
          <w:cantSplit/>
        </w:trPr>
        <w:tc>
          <w:tcPr>
            <w:tcW w:type="dxa" w:w="1944"/>
            <w:vAlign w:val="center"/>
          </w:tcPr>
          <w:p>
            <w:pPr>
              <w:spacing w:after="0"/>
            </w:pPr>
            <w:r/>
            <w:r>
              <w:rPr>
                <w:rFonts w:ascii="Aptos" w:hAnsi="Aptos"/>
                <w:b w:val="0"/>
                <w:sz w:val="16"/>
              </w:rPr>
              <w:t>Retained work</w:t>
            </w:r>
          </w:p>
        </w:tc>
        <w:tc>
          <w:tcPr>
            <w:tcW w:type="dxa" w:w="4032"/>
            <w:vAlign w:val="center"/>
          </w:tcPr>
          <w:p>
            <w:pPr>
              <w:spacing w:after="0"/>
            </w:pPr>
            <w:r/>
            <w:r>
              <w:rPr>
                <w:rFonts w:ascii="Aptos" w:hAnsi="Aptos"/>
                <w:b w:val="0"/>
                <w:sz w:val="16"/>
              </w:rPr>
              <w:t>Safety, reporting, deductibles, uninsured loss and policy compliance remain Bellhaven duties.</w:t>
            </w:r>
          </w:p>
        </w:tc>
        <w:tc>
          <w:tcPr>
            <w:tcW w:type="dxa" w:w="4032"/>
            <w:vAlign w:val="center"/>
          </w:tcPr>
          <w:p>
            <w:pPr>
              <w:spacing w:after="0"/>
            </w:pPr>
            <w:r/>
            <w:r>
              <w:rPr>
                <w:rFonts w:ascii="Aptos" w:hAnsi="Aptos"/>
                <w:b w:val="0"/>
                <w:sz w:val="16"/>
              </w:rPr>
              <w:t>Same duties, plus member data, governance participation, contribution and possible assessment.</w:t>
            </w:r>
          </w:p>
        </w:tc>
      </w:tr>
      <w:tr>
        <w:trPr>
          <w:cantSplit/>
        </w:trPr>
        <w:tc>
          <w:tcPr>
            <w:tcW w:type="dxa" w:w="1944"/>
            <w:vAlign w:val="center"/>
            <w:shd w:fill="F1F5F6"/>
          </w:tcPr>
          <w:p>
            <w:pPr>
              <w:spacing w:after="0"/>
            </w:pPr>
            <w:r/>
            <w:r>
              <w:rPr>
                <w:rFonts w:ascii="Aptos" w:hAnsi="Aptos"/>
                <w:b w:val="0"/>
                <w:sz w:val="16"/>
              </w:rPr>
              <w:t>Budget exposure</w:t>
            </w:r>
          </w:p>
        </w:tc>
        <w:tc>
          <w:tcPr>
            <w:tcW w:type="dxa" w:w="4032"/>
            <w:vAlign w:val="center"/>
            <w:shd w:fill="F1F5F6"/>
          </w:tcPr>
          <w:p>
            <w:pPr>
              <w:spacing w:after="0"/>
            </w:pPr>
            <w:r/>
            <w:r>
              <w:rPr>
                <w:rFonts w:ascii="Aptos" w:hAnsi="Aptos"/>
                <w:b w:val="0"/>
                <w:sz w:val="16"/>
              </w:rPr>
              <w:t>Illustratively fixed premium; a carrier can reprice or decline at renewal.</w:t>
            </w:r>
          </w:p>
        </w:tc>
        <w:tc>
          <w:tcPr>
            <w:tcW w:type="dxa" w:w="4032"/>
            <w:vAlign w:val="center"/>
            <w:shd w:fill="F1F5F6"/>
          </w:tcPr>
          <w:p>
            <w:pPr>
              <w:spacing w:after="0"/>
            </w:pPr>
            <w:r/>
            <w:r>
              <w:rPr>
                <w:rFonts w:ascii="Aptos" w:hAnsi="Aptos"/>
                <w:b w:val="0"/>
                <w:sz w:val="16"/>
              </w:rPr>
              <w:t>Scheduled contribution plus contingent call; an assessment is not a predictable premium.</w:t>
            </w:r>
          </w:p>
        </w:tc>
      </w:tr>
      <w:tr>
        <w:trPr>
          <w:cantSplit/>
        </w:trPr>
        <w:tc>
          <w:tcPr>
            <w:tcW w:type="dxa" w:w="1944"/>
            <w:vAlign w:val="center"/>
          </w:tcPr>
          <w:p>
            <w:pPr>
              <w:spacing w:after="0"/>
            </w:pPr>
            <w:r/>
            <w:r>
              <w:rPr>
                <w:rFonts w:ascii="Aptos" w:hAnsi="Aptos"/>
                <w:b w:val="0"/>
                <w:sz w:val="16"/>
              </w:rPr>
              <w:t>Control / influence</w:t>
            </w:r>
          </w:p>
        </w:tc>
        <w:tc>
          <w:tcPr>
            <w:tcW w:type="dxa" w:w="4032"/>
            <w:vAlign w:val="center"/>
          </w:tcPr>
          <w:p>
            <w:pPr>
              <w:spacing w:after="0"/>
            </w:pPr>
            <w:r/>
            <w:r>
              <w:rPr>
                <w:rFonts w:ascii="Aptos" w:hAnsi="Aptos"/>
                <w:b w:val="0"/>
                <w:sz w:val="16"/>
              </w:rPr>
              <w:t>Carrier controls wording and much of claims process.</w:t>
            </w:r>
          </w:p>
        </w:tc>
        <w:tc>
          <w:tcPr>
            <w:tcW w:type="dxa" w:w="4032"/>
            <w:vAlign w:val="center"/>
          </w:tcPr>
          <w:p>
            <w:pPr>
              <w:spacing w:after="0"/>
            </w:pPr>
            <w:r/>
            <w:r>
              <w:rPr>
                <w:rFonts w:ascii="Aptos" w:hAnsi="Aptos"/>
                <w:b w:val="0"/>
                <w:sz w:val="16"/>
              </w:rPr>
              <w:t>Members may vote and influence risk standards and claims policy, while accepting collective constraints.</w:t>
            </w:r>
          </w:p>
        </w:tc>
      </w:tr>
    </w:tbl>
    <w:p>
      <w:pPr>
        <w:spacing w:after="0"/>
      </w:pPr>
    </w:p>
    <w:p>
      <w:r>
        <w:rPr>
          <w:b/>
        </w:rPr>
        <w:t xml:space="preserve">Uncomfortable but central: </w:t>
      </w:r>
      <w:r>
        <w:t>a bad year (for example, correlated flood, cyber or abuse claims), reserve shortfall, delayed recovery, or reinsurance exhaustion could trigger a call. The authority would be the pool’s executed charter/by-laws and participation agreement, exercised by the body those documents designate (board, member vote or another committee). Bellhaven’s consequence is an unplanned cash requirement, a budget amendment and possible service trade-offs; timing may precede the next annual budget cycle.</w:t>
      </w:r>
    </w:p>
    <w:p>
      <w:pPr>
        <w:pStyle w:val="Heading1"/>
      </w:pPr>
      <w:r>
        <w:t>2. Three-year financial comparison</w:t>
      </w:r>
    </w:p>
    <w:p>
      <w:pPr>
        <w:keepLines/>
      </w:pPr>
      <w:r>
        <w:rPr>
          <w:b/>
        </w:rPr>
        <w:t xml:space="preserve">Illustrative assumptions, not Greymarch or Bellhaven facts: </w:t>
      </w:r>
      <w:r>
        <w:t>all amounts are USD; no premium indication, reserve balance, claims history or actuarial result was supplied. Commercial premium is held flat solely to create a comparable horizon. Greymarch contribution is held at $0.50m per year. The adverse assessment sensitivity is $0.30m once in the three-year period; it is a stress case, not a forecast. Taxes, investment income, transition costs and claim frequency are excluded from both alternatives.</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2088"/>
            <w:vAlign w:val="center"/>
            <w:shd w:fill="24556B"/>
          </w:tcPr>
          <w:p>
            <w:pPr>
              <w:spacing w:after="0"/>
            </w:pPr>
            <w:r/>
            <w:r>
              <w:rPr>
                <w:rFonts w:ascii="Aptos" w:hAnsi="Aptos"/>
                <w:b/>
                <w:color w:val="FFFFFF"/>
                <w:sz w:val="16"/>
              </w:rPr>
              <w:t>Period / measure</w:t>
            </w:r>
          </w:p>
        </w:tc>
        <w:tc>
          <w:tcPr>
            <w:tcW w:type="dxa" w:w="2232"/>
            <w:vAlign w:val="center"/>
            <w:shd w:fill="24556B"/>
          </w:tcPr>
          <w:p>
            <w:pPr>
              <w:spacing w:after="0"/>
            </w:pPr>
            <w:r/>
            <w:r>
              <w:rPr>
                <w:rFonts w:ascii="Aptos" w:hAnsi="Aptos"/>
                <w:b/>
                <w:color w:val="FFFFFF"/>
                <w:sz w:val="16"/>
              </w:rPr>
              <w:t>Commercial cover</w:t>
            </w:r>
          </w:p>
        </w:tc>
        <w:tc>
          <w:tcPr>
            <w:tcW w:type="dxa" w:w="2448"/>
            <w:vAlign w:val="center"/>
            <w:shd w:fill="24556B"/>
          </w:tcPr>
          <w:p>
            <w:pPr>
              <w:spacing w:after="0"/>
            </w:pPr>
            <w:r/>
            <w:r>
              <w:rPr>
                <w:rFonts w:ascii="Aptos" w:hAnsi="Aptos"/>
                <w:b/>
                <w:color w:val="FFFFFF"/>
                <w:sz w:val="16"/>
              </w:rPr>
              <w:t>Greymarch pool</w:t>
            </w:r>
          </w:p>
        </w:tc>
        <w:tc>
          <w:tcPr>
            <w:tcW w:type="dxa" w:w="3240"/>
            <w:vAlign w:val="center"/>
            <w:shd w:fill="24556B"/>
          </w:tcPr>
          <w:p>
            <w:pPr>
              <w:spacing w:after="0"/>
            </w:pPr>
            <w:r/>
            <w:r>
              <w:rPr>
                <w:rFonts w:ascii="Aptos" w:hAnsi="Aptos"/>
                <w:b/>
                <w:color w:val="FFFFFF"/>
                <w:sz w:val="16"/>
              </w:rPr>
              <w:t>Interpretation</w:t>
            </w:r>
          </w:p>
        </w:tc>
      </w:tr>
      <w:tr>
        <w:trPr>
          <w:cantSplit/>
        </w:trPr>
        <w:tc>
          <w:tcPr>
            <w:tcW w:type="dxa" w:w="2088"/>
            <w:vAlign w:val="center"/>
            <w:shd w:fill="F1F5F6"/>
          </w:tcPr>
          <w:p>
            <w:pPr>
              <w:spacing w:after="0"/>
            </w:pPr>
            <w:r/>
            <w:r>
              <w:rPr>
                <w:rFonts w:ascii="Aptos" w:hAnsi="Aptos"/>
                <w:b w:val="0"/>
                <w:sz w:val="16"/>
              </w:rPr>
              <w:t>Current position (Year 0)</w:t>
            </w:r>
          </w:p>
        </w:tc>
        <w:tc>
          <w:tcPr>
            <w:tcW w:type="dxa" w:w="2232"/>
            <w:vAlign w:val="center"/>
            <w:shd w:fill="F1F5F6"/>
          </w:tcPr>
          <w:p>
            <w:pPr>
              <w:spacing w:after="0"/>
            </w:pPr>
            <w:r/>
            <w:r>
              <w:rPr>
                <w:rFonts w:ascii="Aptos" w:hAnsi="Aptos"/>
                <w:b w:val="0"/>
                <w:sz w:val="16"/>
              </w:rPr>
              <w:t>$0.60m annual premium (illustrative)</w:t>
            </w:r>
          </w:p>
        </w:tc>
        <w:tc>
          <w:tcPr>
            <w:tcW w:type="dxa" w:w="2448"/>
            <w:vAlign w:val="center"/>
            <w:shd w:fill="F1F5F6"/>
          </w:tcPr>
          <w:p>
            <w:pPr>
              <w:spacing w:after="0"/>
            </w:pPr>
            <w:r/>
            <w:r>
              <w:rPr>
                <w:rFonts w:ascii="Aptos" w:hAnsi="Aptos"/>
                <w:b w:val="0"/>
                <w:sz w:val="16"/>
              </w:rPr>
              <w:t>Not a member; no contribution or call</w:t>
            </w:r>
          </w:p>
        </w:tc>
        <w:tc>
          <w:tcPr>
            <w:tcW w:type="dxa" w:w="3240"/>
            <w:vAlign w:val="center"/>
            <w:shd w:fill="F1F5F6"/>
          </w:tcPr>
          <w:p>
            <w:pPr>
              <w:spacing w:after="0"/>
            </w:pPr>
            <w:r/>
            <w:r>
              <w:rPr>
                <w:rFonts w:ascii="Aptos" w:hAnsi="Aptos"/>
                <w:b w:val="0"/>
                <w:sz w:val="16"/>
              </w:rPr>
              <w:t>Commercial certainty is the observed operating position; pool terms remain to be confirmed.</w:t>
            </w:r>
          </w:p>
        </w:tc>
      </w:tr>
      <w:tr>
        <w:trPr>
          <w:cantSplit/>
        </w:trPr>
        <w:tc>
          <w:tcPr>
            <w:tcW w:type="dxa" w:w="2088"/>
            <w:vAlign w:val="center"/>
          </w:tcPr>
          <w:p>
            <w:pPr>
              <w:spacing w:after="0"/>
            </w:pPr>
            <w:r/>
            <w:r>
              <w:rPr>
                <w:rFonts w:ascii="Aptos" w:hAnsi="Aptos"/>
                <w:b w:val="0"/>
                <w:sz w:val="16"/>
              </w:rPr>
              <w:t>Years 1–3: planned cash</w:t>
            </w:r>
          </w:p>
        </w:tc>
        <w:tc>
          <w:tcPr>
            <w:tcW w:type="dxa" w:w="2232"/>
            <w:vAlign w:val="center"/>
          </w:tcPr>
          <w:p>
            <w:pPr>
              <w:spacing w:after="0"/>
            </w:pPr>
            <w:r/>
            <w:r>
              <w:rPr>
                <w:rFonts w:ascii="Aptos" w:hAnsi="Aptos"/>
                <w:b w:val="0"/>
                <w:sz w:val="16"/>
              </w:rPr>
              <w:t>$1.80m total premium</w:t>
            </w:r>
          </w:p>
        </w:tc>
        <w:tc>
          <w:tcPr>
            <w:tcW w:type="dxa" w:w="2448"/>
            <w:vAlign w:val="center"/>
          </w:tcPr>
          <w:p>
            <w:pPr>
              <w:spacing w:after="0"/>
            </w:pPr>
            <w:r/>
            <w:r>
              <w:rPr>
                <w:rFonts w:ascii="Aptos" w:hAnsi="Aptos"/>
                <w:b w:val="0"/>
                <w:sz w:val="16"/>
              </w:rPr>
              <w:t>$1.50m total contributions</w:t>
            </w:r>
          </w:p>
        </w:tc>
        <w:tc>
          <w:tcPr>
            <w:tcW w:type="dxa" w:w="3240"/>
            <w:vAlign w:val="center"/>
          </w:tcPr>
          <w:p>
            <w:pPr>
              <w:spacing w:after="0"/>
            </w:pPr>
            <w:r/>
            <w:r>
              <w:rPr>
                <w:rFonts w:ascii="Aptos" w:hAnsi="Aptos"/>
                <w:b w:val="0"/>
                <w:sz w:val="16"/>
              </w:rPr>
              <w:t>$0.30m apparent three-year saving before any call.</w:t>
            </w:r>
          </w:p>
        </w:tc>
      </w:tr>
      <w:tr>
        <w:trPr>
          <w:cantSplit/>
        </w:trPr>
        <w:tc>
          <w:tcPr>
            <w:tcW w:type="dxa" w:w="2088"/>
            <w:vAlign w:val="center"/>
            <w:shd w:fill="F1F5F6"/>
          </w:tcPr>
          <w:p>
            <w:pPr>
              <w:spacing w:after="0"/>
            </w:pPr>
            <w:r/>
            <w:r>
              <w:rPr>
                <w:rFonts w:ascii="Aptos" w:hAnsi="Aptos"/>
                <w:b w:val="0"/>
                <w:sz w:val="16"/>
              </w:rPr>
              <w:t>Years 1–3: adverse call sensitivity</w:t>
            </w:r>
          </w:p>
        </w:tc>
        <w:tc>
          <w:tcPr>
            <w:tcW w:type="dxa" w:w="2232"/>
            <w:vAlign w:val="center"/>
            <w:shd w:fill="F1F5F6"/>
          </w:tcPr>
          <w:p>
            <w:pPr>
              <w:spacing w:after="0"/>
            </w:pPr>
            <w:r/>
            <w:r>
              <w:rPr>
                <w:rFonts w:ascii="Aptos" w:hAnsi="Aptos"/>
                <w:b w:val="0"/>
                <w:sz w:val="16"/>
              </w:rPr>
              <w:t>No member assessment; renewal repricing remains possible</w:t>
            </w:r>
          </w:p>
        </w:tc>
        <w:tc>
          <w:tcPr>
            <w:tcW w:type="dxa" w:w="2448"/>
            <w:vAlign w:val="center"/>
            <w:shd w:fill="F1F5F6"/>
          </w:tcPr>
          <w:p>
            <w:pPr>
              <w:spacing w:after="0"/>
            </w:pPr>
            <w:r/>
            <w:r>
              <w:rPr>
                <w:rFonts w:ascii="Aptos" w:hAnsi="Aptos"/>
                <w:b w:val="0"/>
                <w:sz w:val="16"/>
              </w:rPr>
              <w:t>+$0.30m call = $1.80m total</w:t>
            </w:r>
          </w:p>
        </w:tc>
        <w:tc>
          <w:tcPr>
            <w:tcW w:type="dxa" w:w="3240"/>
            <w:vAlign w:val="center"/>
            <w:shd w:fill="F1F5F6"/>
          </w:tcPr>
          <w:p>
            <w:pPr>
              <w:spacing w:after="0"/>
            </w:pPr>
            <w:r/>
            <w:r>
              <w:rPr>
                <w:rFonts w:ascii="Aptos" w:hAnsi="Aptos"/>
                <w:b w:val="0"/>
                <w:sz w:val="16"/>
              </w:rPr>
              <w:t>Saving disappears; liquidity and notice period become decisive.</w:t>
            </w:r>
          </w:p>
        </w:tc>
      </w:tr>
      <w:tr>
        <w:trPr>
          <w:cantSplit/>
        </w:trPr>
        <w:tc>
          <w:tcPr>
            <w:tcW w:type="dxa" w:w="2088"/>
            <w:vAlign w:val="center"/>
          </w:tcPr>
          <w:p>
            <w:pPr>
              <w:spacing w:after="0"/>
            </w:pPr>
            <w:r/>
            <w:r>
              <w:rPr>
                <w:rFonts w:ascii="Aptos" w:hAnsi="Aptos"/>
                <w:b w:val="0"/>
                <w:sz w:val="16"/>
              </w:rPr>
              <w:t>Decision measure</w:t>
            </w:r>
          </w:p>
        </w:tc>
        <w:tc>
          <w:tcPr>
            <w:tcW w:type="dxa" w:w="2232"/>
            <w:vAlign w:val="center"/>
          </w:tcPr>
          <w:p>
            <w:pPr>
              <w:spacing w:after="0"/>
            </w:pPr>
            <w:r/>
            <w:r>
              <w:rPr>
                <w:rFonts w:ascii="Aptos" w:hAnsi="Aptos"/>
                <w:b w:val="0"/>
                <w:sz w:val="16"/>
              </w:rPr>
              <w:t>Fixed three-year budget envelope (illustrative)</w:t>
            </w:r>
          </w:p>
        </w:tc>
        <w:tc>
          <w:tcPr>
            <w:tcW w:type="dxa" w:w="2448"/>
            <w:vAlign w:val="center"/>
          </w:tcPr>
          <w:p>
            <w:pPr>
              <w:spacing w:after="0"/>
            </w:pPr>
            <w:r/>
            <w:r>
              <w:rPr>
                <w:rFonts w:ascii="Aptos" w:hAnsi="Aptos"/>
                <w:b w:val="0"/>
                <w:sz w:val="16"/>
              </w:rPr>
              <w:t>Contribution plus contingent exposure</w:t>
            </w:r>
          </w:p>
        </w:tc>
        <w:tc>
          <w:tcPr>
            <w:tcW w:type="dxa" w:w="3240"/>
            <w:vAlign w:val="center"/>
          </w:tcPr>
          <w:p>
            <w:pPr>
              <w:spacing w:after="0"/>
            </w:pPr>
            <w:r/>
            <w:r>
              <w:rPr>
                <w:rFonts w:ascii="Aptos" w:hAnsi="Aptos"/>
                <w:b w:val="0"/>
                <w:sz w:val="16"/>
              </w:rPr>
              <w:t>Compare total expected cost and ability to fund a low-frequency call, not “premium” alone.</w:t>
            </w:r>
          </w:p>
        </w:tc>
      </w:tr>
    </w:tbl>
    <w:p>
      <w:pPr>
        <w:spacing w:after="0"/>
      </w:pPr>
    </w:p>
    <w:p>
      <w:r>
        <w:rPr>
          <w:b/>
        </w:rPr>
        <w:t xml:space="preserve">Material change from today to Years 1–3: </w:t>
      </w:r>
      <w:r>
        <w:t>Bellhaven moves from a known annual invoice to a two-part exposure: a scheduled contribution and a contingent assessment. In the first year, onboarding and data validation may make claims handling slower; by Year 3, the intended governance and capital framework should be operating, but that end state is not a current fact. A $0.30m call equals half of one illustrative annual contribution and should be stress-tested against cash reserves, legally available fund balance and public budget rules.</w:t>
      </w:r>
    </w:p>
    <w:p>
      <w:pPr>
        <w:pStyle w:val="Heading1"/>
      </w:pPr>
      <w:r>
        <w:t>3. Fair alternative test</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1728"/>
            <w:vAlign w:val="center"/>
            <w:shd w:fill="24556B"/>
          </w:tcPr>
          <w:p>
            <w:pPr>
              <w:spacing w:after="0"/>
            </w:pPr>
            <w:r/>
            <w:r>
              <w:rPr>
                <w:rFonts w:ascii="Aptos" w:hAnsi="Aptos"/>
                <w:b/>
                <w:color w:val="FFFFFF"/>
                <w:sz w:val="16"/>
              </w:rPr>
              <w:t>Dimension</w:t>
            </w:r>
          </w:p>
        </w:tc>
        <w:tc>
          <w:tcPr>
            <w:tcW w:type="dxa" w:w="3744"/>
            <w:vAlign w:val="center"/>
            <w:shd w:fill="24556B"/>
          </w:tcPr>
          <w:p>
            <w:pPr>
              <w:spacing w:after="0"/>
            </w:pPr>
            <w:r/>
            <w:r>
              <w:rPr>
                <w:rFonts w:ascii="Aptos" w:hAnsi="Aptos"/>
                <w:b/>
                <w:color w:val="FFFFFF"/>
                <w:sz w:val="16"/>
              </w:rPr>
              <w:t>Commercial insurance</w:t>
            </w:r>
          </w:p>
        </w:tc>
        <w:tc>
          <w:tcPr>
            <w:tcW w:type="dxa" w:w="4392"/>
            <w:vAlign w:val="center"/>
            <w:shd w:fill="24556B"/>
          </w:tcPr>
          <w:p>
            <w:pPr>
              <w:spacing w:after="0"/>
            </w:pPr>
            <w:r/>
            <w:r>
              <w:rPr>
                <w:rFonts w:ascii="Aptos" w:hAnsi="Aptos"/>
                <w:b/>
                <w:color w:val="FFFFFF"/>
                <w:sz w:val="16"/>
              </w:rPr>
              <w:t>Greymarch pool / question for diligence</w:t>
            </w:r>
          </w:p>
        </w:tc>
      </w:tr>
      <w:tr>
        <w:trPr>
          <w:cantSplit/>
        </w:trPr>
        <w:tc>
          <w:tcPr>
            <w:tcW w:type="dxa" w:w="1728"/>
            <w:vAlign w:val="center"/>
            <w:shd w:fill="F1F5F6"/>
          </w:tcPr>
          <w:p>
            <w:pPr>
              <w:spacing w:after="0"/>
            </w:pPr>
            <w:r/>
            <w:r>
              <w:rPr>
                <w:rFonts w:ascii="Aptos" w:hAnsi="Aptos"/>
                <w:b w:val="0"/>
                <w:sz w:val="16"/>
              </w:rPr>
              <w:t>Coverage &amp; gaps</w:t>
            </w:r>
          </w:p>
        </w:tc>
        <w:tc>
          <w:tcPr>
            <w:tcW w:type="dxa" w:w="3744"/>
            <w:vAlign w:val="center"/>
            <w:shd w:fill="F1F5F6"/>
          </w:tcPr>
          <w:p>
            <w:pPr>
              <w:spacing w:after="0"/>
            </w:pPr>
            <w:r/>
            <w:r>
              <w:rPr>
                <w:rFonts w:ascii="Aptos" w:hAnsi="Aptos"/>
                <w:b w:val="0"/>
                <w:sz w:val="16"/>
              </w:rPr>
              <w:t>Policy schedule is negotiated; exclusions, sublimits and deductibles are explicit but may narrow after a loss.</w:t>
            </w:r>
          </w:p>
        </w:tc>
        <w:tc>
          <w:tcPr>
            <w:tcW w:type="dxa" w:w="4392"/>
            <w:vAlign w:val="center"/>
            <w:shd w:fill="F1F5F6"/>
          </w:tcPr>
          <w:p>
            <w:pPr>
              <w:spacing w:after="0"/>
            </w:pPr>
            <w:r/>
            <w:r>
              <w:rPr>
                <w:rFonts w:ascii="Aptos" w:hAnsi="Aptos"/>
                <w:b w:val="0"/>
                <w:sz w:val="16"/>
              </w:rPr>
              <w:t>Potentially tailored to public-entity exposures; confirm occurrence limits, exclusions, retained layers and any member-specific gap.</w:t>
            </w:r>
          </w:p>
        </w:tc>
      </w:tr>
      <w:tr>
        <w:trPr>
          <w:cantSplit/>
        </w:trPr>
        <w:tc>
          <w:tcPr>
            <w:tcW w:type="dxa" w:w="1728"/>
            <w:vAlign w:val="center"/>
          </w:tcPr>
          <w:p>
            <w:pPr>
              <w:spacing w:after="0"/>
            </w:pPr>
            <w:r/>
            <w:r>
              <w:rPr>
                <w:rFonts w:ascii="Aptos" w:hAnsi="Aptos"/>
                <w:b w:val="0"/>
                <w:sz w:val="16"/>
              </w:rPr>
              <w:t>Claims handling</w:t>
            </w:r>
          </w:p>
        </w:tc>
        <w:tc>
          <w:tcPr>
            <w:tcW w:type="dxa" w:w="3744"/>
            <w:vAlign w:val="center"/>
          </w:tcPr>
          <w:p>
            <w:pPr>
              <w:spacing w:after="0"/>
            </w:pPr>
            <w:r/>
            <w:r>
              <w:rPr>
                <w:rFonts w:ascii="Aptos" w:hAnsi="Aptos"/>
                <w:b w:val="0"/>
                <w:sz w:val="16"/>
              </w:rPr>
              <w:t>Insurer/TPA authority, service standards and dispute route are contractual; claims cost is generally within limit.</w:t>
            </w:r>
          </w:p>
        </w:tc>
        <w:tc>
          <w:tcPr>
            <w:tcW w:type="dxa" w:w="4392"/>
            <w:vAlign w:val="center"/>
          </w:tcPr>
          <w:p>
            <w:pPr>
              <w:spacing w:after="0"/>
            </w:pPr>
            <w:r/>
            <w:r>
              <w:rPr>
                <w:rFonts w:ascii="Aptos" w:hAnsi="Aptos"/>
                <w:b w:val="0"/>
                <w:sz w:val="16"/>
              </w:rPr>
              <w:t>Confirm who can reserve, settle and deny, response times, appeal rights, and whether a member can be called while a dispute is open.</w:t>
            </w:r>
          </w:p>
        </w:tc>
      </w:tr>
      <w:tr>
        <w:trPr>
          <w:cantSplit/>
        </w:trPr>
        <w:tc>
          <w:tcPr>
            <w:tcW w:type="dxa" w:w="1728"/>
            <w:vAlign w:val="center"/>
            <w:shd w:fill="F1F5F6"/>
          </w:tcPr>
          <w:p>
            <w:pPr>
              <w:spacing w:after="0"/>
            </w:pPr>
            <w:r/>
            <w:r>
              <w:rPr>
                <w:rFonts w:ascii="Aptos" w:hAnsi="Aptos"/>
                <w:b w:val="0"/>
                <w:sz w:val="16"/>
              </w:rPr>
              <w:t>Liquidity &amp; funding</w:t>
            </w:r>
          </w:p>
        </w:tc>
        <w:tc>
          <w:tcPr>
            <w:tcW w:type="dxa" w:w="3744"/>
            <w:vAlign w:val="center"/>
            <w:shd w:fill="F1F5F6"/>
          </w:tcPr>
          <w:p>
            <w:pPr>
              <w:spacing w:after="0"/>
            </w:pPr>
            <w:r/>
            <w:r>
              <w:rPr>
                <w:rFonts w:ascii="Aptos" w:hAnsi="Aptos"/>
                <w:b w:val="0"/>
                <w:sz w:val="16"/>
              </w:rPr>
              <w:t>Premium is paid on schedule; insurer funds valid claims subject to terms and solvency.</w:t>
            </w:r>
          </w:p>
        </w:tc>
        <w:tc>
          <w:tcPr>
            <w:tcW w:type="dxa" w:w="4392"/>
            <w:vAlign w:val="center"/>
            <w:shd w:fill="F1F5F6"/>
          </w:tcPr>
          <w:p>
            <w:pPr>
              <w:spacing w:after="0"/>
            </w:pPr>
            <w:r/>
            <w:r>
              <w:rPr>
                <w:rFonts w:ascii="Aptos" w:hAnsi="Aptos"/>
                <w:b w:val="0"/>
                <w:sz w:val="16"/>
              </w:rPr>
              <w:t>Claims fund and reserves are collective; confirm cash runway, payment timing, reserve policy and assessment notice period.</w:t>
            </w:r>
          </w:p>
        </w:tc>
      </w:tr>
      <w:tr>
        <w:trPr>
          <w:cantSplit/>
        </w:trPr>
        <w:tc>
          <w:tcPr>
            <w:tcW w:type="dxa" w:w="1728"/>
            <w:vAlign w:val="center"/>
          </w:tcPr>
          <w:p>
            <w:pPr>
              <w:spacing w:after="0"/>
            </w:pPr>
            <w:r/>
            <w:r>
              <w:rPr>
                <w:rFonts w:ascii="Aptos" w:hAnsi="Aptos"/>
                <w:b w:val="0"/>
                <w:sz w:val="16"/>
              </w:rPr>
              <w:t>Governance</w:t>
            </w:r>
          </w:p>
        </w:tc>
        <w:tc>
          <w:tcPr>
            <w:tcW w:type="dxa" w:w="3744"/>
            <w:vAlign w:val="center"/>
          </w:tcPr>
          <w:p>
            <w:pPr>
              <w:spacing w:after="0"/>
            </w:pPr>
            <w:r/>
            <w:r>
              <w:rPr>
                <w:rFonts w:ascii="Aptos" w:hAnsi="Aptos"/>
                <w:b w:val="0"/>
                <w:sz w:val="16"/>
              </w:rPr>
              <w:t>Bellhaven retains procurement and renewal discretion; limited influence over carrier.</w:t>
            </w:r>
          </w:p>
        </w:tc>
        <w:tc>
          <w:tcPr>
            <w:tcW w:type="dxa" w:w="4392"/>
            <w:vAlign w:val="center"/>
          </w:tcPr>
          <w:p>
            <w:pPr>
              <w:spacing w:after="0"/>
            </w:pPr>
            <w:r/>
            <w:r>
              <w:rPr>
                <w:rFonts w:ascii="Aptos" w:hAnsi="Aptos"/>
                <w:b w:val="0"/>
                <w:sz w:val="16"/>
              </w:rPr>
              <w:t>Member voting and committee seats can influence risk policy; they also constrain unilateral discretion and create participation duties.</w:t>
            </w:r>
          </w:p>
        </w:tc>
      </w:tr>
      <w:tr>
        <w:trPr>
          <w:cantSplit/>
        </w:trPr>
        <w:tc>
          <w:tcPr>
            <w:tcW w:type="dxa" w:w="1728"/>
            <w:vAlign w:val="center"/>
            <w:shd w:fill="F1F5F6"/>
          </w:tcPr>
          <w:p>
            <w:pPr>
              <w:spacing w:after="0"/>
            </w:pPr>
            <w:r/>
            <w:r>
              <w:rPr>
                <w:rFonts w:ascii="Aptos" w:hAnsi="Aptos"/>
                <w:b w:val="0"/>
                <w:sz w:val="16"/>
              </w:rPr>
              <w:t>Cost volatility</w:t>
            </w:r>
          </w:p>
        </w:tc>
        <w:tc>
          <w:tcPr>
            <w:tcW w:type="dxa" w:w="3744"/>
            <w:vAlign w:val="center"/>
            <w:shd w:fill="F1F5F6"/>
          </w:tcPr>
          <w:p>
            <w:pPr>
              <w:spacing w:after="0"/>
            </w:pPr>
            <w:r/>
            <w:r>
              <w:rPr>
                <w:rFonts w:ascii="Aptos" w:hAnsi="Aptos"/>
                <w:b w:val="0"/>
                <w:sz w:val="16"/>
              </w:rPr>
              <w:t>Renewal repricing, deductible changes and market capacity risk.</w:t>
            </w:r>
          </w:p>
        </w:tc>
        <w:tc>
          <w:tcPr>
            <w:tcW w:type="dxa" w:w="4392"/>
            <w:vAlign w:val="center"/>
            <w:shd w:fill="F1F5F6"/>
          </w:tcPr>
          <w:p>
            <w:pPr>
              <w:spacing w:after="0"/>
            </w:pPr>
            <w:r/>
            <w:r>
              <w:rPr>
                <w:rFonts w:ascii="Aptos" w:hAnsi="Aptos"/>
                <w:b w:val="0"/>
                <w:sz w:val="16"/>
              </w:rPr>
              <w:t>Lower planned contribution may be offset by a call, reserve contribution or reinsurance cost; pooling is not automatically cheaper.</w:t>
            </w:r>
          </w:p>
        </w:tc>
      </w:tr>
      <w:tr>
        <w:trPr>
          <w:cantSplit/>
        </w:trPr>
        <w:tc>
          <w:tcPr>
            <w:tcW w:type="dxa" w:w="1728"/>
            <w:vAlign w:val="center"/>
          </w:tcPr>
          <w:p>
            <w:pPr>
              <w:spacing w:after="0"/>
            </w:pPr>
            <w:r/>
            <w:r>
              <w:rPr>
                <w:rFonts w:ascii="Aptos" w:hAnsi="Aptos"/>
                <w:b w:val="0"/>
                <w:sz w:val="16"/>
              </w:rPr>
              <w:t>Exit consequences</w:t>
            </w:r>
          </w:p>
        </w:tc>
        <w:tc>
          <w:tcPr>
            <w:tcW w:type="dxa" w:w="3744"/>
            <w:vAlign w:val="center"/>
          </w:tcPr>
          <w:p>
            <w:pPr>
              <w:spacing w:after="0"/>
            </w:pPr>
            <w:r/>
            <w:r>
              <w:rPr>
                <w:rFonts w:ascii="Aptos" w:hAnsi="Aptos"/>
                <w:b w:val="0"/>
                <w:sz w:val="16"/>
              </w:rPr>
              <w:t>Usually a non-renewal date; tail and known-claim provisions remain contractual.</w:t>
            </w:r>
          </w:p>
        </w:tc>
        <w:tc>
          <w:tcPr>
            <w:tcW w:type="dxa" w:w="4392"/>
            <w:vAlign w:val="center"/>
          </w:tcPr>
          <w:p>
            <w:pPr>
              <w:spacing w:after="0"/>
            </w:pPr>
            <w:r/>
            <w:r>
              <w:rPr>
                <w:rFonts w:ascii="Aptos" w:hAnsi="Aptos"/>
                <w:b w:val="0"/>
                <w:sz w:val="16"/>
              </w:rPr>
              <w:t>Confirm notice, run-off/tail claims, unpaid assessments, collateral and whether departure requires funding prior years.</w:t>
            </w:r>
          </w:p>
        </w:tc>
      </w:tr>
      <w:tr>
        <w:trPr>
          <w:cantSplit/>
        </w:trPr>
        <w:tc>
          <w:tcPr>
            <w:tcW w:type="dxa" w:w="1728"/>
            <w:vAlign w:val="center"/>
            <w:shd w:fill="F1F5F6"/>
          </w:tcPr>
          <w:p>
            <w:pPr>
              <w:spacing w:after="0"/>
            </w:pPr>
            <w:r/>
            <w:r>
              <w:rPr>
                <w:rFonts w:ascii="Aptos" w:hAnsi="Aptos"/>
                <w:b w:val="0"/>
                <w:sz w:val="16"/>
              </w:rPr>
              <w:t>Public accountability</w:t>
            </w:r>
          </w:p>
        </w:tc>
        <w:tc>
          <w:tcPr>
            <w:tcW w:type="dxa" w:w="3744"/>
            <w:vAlign w:val="center"/>
            <w:shd w:fill="F1F5F6"/>
          </w:tcPr>
          <w:p>
            <w:pPr>
              <w:spacing w:after="0"/>
            </w:pPr>
            <w:r/>
            <w:r>
              <w:rPr>
                <w:rFonts w:ascii="Aptos" w:hAnsi="Aptos"/>
                <w:b w:val="0"/>
                <w:sz w:val="16"/>
              </w:rPr>
              <w:t>Tender and board approval apply to the purchase.</w:t>
            </w:r>
          </w:p>
        </w:tc>
        <w:tc>
          <w:tcPr>
            <w:tcW w:type="dxa" w:w="4392"/>
            <w:vAlign w:val="center"/>
            <w:shd w:fill="F1F5F6"/>
          </w:tcPr>
          <w:p>
            <w:pPr>
              <w:spacing w:after="0"/>
            </w:pPr>
            <w:r/>
            <w:r>
              <w:rPr>
                <w:rFonts w:ascii="Aptos" w:hAnsi="Aptos"/>
                <w:b w:val="0"/>
                <w:sz w:val="16"/>
              </w:rPr>
              <w:t>Membership is not automatically exempt from procurement or public-record duties; obtain Bellhaven counsel/procurement sign-off.</w:t>
            </w:r>
          </w:p>
        </w:tc>
      </w:tr>
    </w:tbl>
    <w:p>
      <w:pPr>
        <w:spacing w:after="0"/>
      </w:pPr>
    </w:p>
    <w:p>
      <w:pPr>
        <w:pStyle w:val="Heading1"/>
        <w:pageBreakBefore/>
      </w:pPr>
      <w:r>
        <w:t>4. Assessability, size and the transition</w:t>
      </w:r>
    </w:p>
    <w:p>
      <w:pPr>
        <w:pStyle w:val="Heading2"/>
      </w:pPr>
      <w:r>
        <w:t>What controls the call risk</w:t>
      </w:r>
    </w:p>
    <w:p>
      <w:r>
        <w:rPr>
          <w:b/>
        </w:rPr>
        <w:t xml:space="preserve">Controls that should exist, but are not verified here: </w:t>
      </w:r>
      <w:r>
        <w:t>a written maximum call or formula; a reserve target and replenishment rule; reinsurance attachment/limit and credit quality; quarterly claims and liquidity reporting; and a transparent member vote for extraordinary calls. Triggers may include aggregate losses above the budget, reserve deterioration, a reinsurer failing to pay, or a governance-approved capital reset. Ask to see the charter, participation agreement, last three years of calls (if any), actuarial funding work, reserve schedule, reinsurance summary, audited statements and member financial disclosures. None has been reviewed for this paper.</w:t>
      </w:r>
    </w:p>
    <w:p>
      <w:r>
        <w:rPr>
          <w:b/>
        </w:rPr>
        <w:t xml:space="preserve">Size is not a safety proof. </w:t>
      </w:r>
      <w:r>
        <w:t>The common rule of thumb that a larger or more diversified pool is necessarily safer or cheaper stops working when members share correlated hazards (weather, cyber, labor or regulatory shocks), have mismatched limits, lack governance capacity, or carry inadequate capital. Replace the shortcut with exposure mix, credible loss experience, capitalization, reinsurance, stress tests and scenario results, including a multi-member catastrophe.</w:t>
      </w:r>
    </w:p>
    <w:p>
      <w:pPr>
        <w:pStyle w:val="Heading2"/>
      </w:pPr>
      <w:r>
        <w:t>Changing practice: transition versus intended end state</w:t>
      </w:r>
    </w:p>
    <w:p>
      <w:r>
        <w:rPr>
          <w:b/>
        </w:rPr>
        <w:t xml:space="preserve">Assumed transition to confirm: </w:t>
      </w:r>
      <w:r>
        <w:t>Greymarch is moving from a largely retrospective/member-call loss-funding practice toward a formal capital, reserve and reinsurance framework. This is an illustrative description of a changing practice, not a statement that a local rule or approval exists.</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3096"/>
            <w:vAlign w:val="center"/>
            <w:shd w:fill="24556B"/>
          </w:tcPr>
          <w:p>
            <w:pPr>
              <w:spacing w:after="0"/>
            </w:pPr>
            <w:r/>
            <w:r>
              <w:rPr>
                <w:rFonts w:ascii="Aptos" w:hAnsi="Aptos"/>
                <w:b/>
                <w:color w:val="FFFFFF"/>
                <w:sz w:val="16"/>
              </w:rPr>
              <w:t>Before change is complete</w:t>
            </w:r>
          </w:p>
        </w:tc>
        <w:tc>
          <w:tcPr>
            <w:tcW w:type="dxa" w:w="3096"/>
            <w:vAlign w:val="center"/>
            <w:shd w:fill="24556B"/>
          </w:tcPr>
          <w:p>
            <w:pPr>
              <w:spacing w:after="0"/>
            </w:pPr>
            <w:r/>
            <w:r>
              <w:rPr>
                <w:rFonts w:ascii="Aptos" w:hAnsi="Aptos"/>
                <w:b/>
                <w:color w:val="FFFFFF"/>
                <w:sz w:val="16"/>
              </w:rPr>
              <w:t>After intended end state</w:t>
            </w:r>
          </w:p>
        </w:tc>
        <w:tc>
          <w:tcPr>
            <w:tcW w:type="dxa" w:w="3672"/>
            <w:vAlign w:val="center"/>
            <w:shd w:fill="24556B"/>
          </w:tcPr>
          <w:p>
            <w:pPr>
              <w:spacing w:after="0"/>
            </w:pPr>
            <w:r/>
            <w:r>
              <w:rPr>
                <w:rFonts w:ascii="Aptos" w:hAnsi="Aptos"/>
                <w:b/>
                <w:color w:val="FFFFFF"/>
                <w:sz w:val="16"/>
              </w:rPr>
              <w:t>Interim control / Bellhaven implication</w:t>
            </w:r>
          </w:p>
        </w:tc>
      </w:tr>
      <w:tr>
        <w:trPr>
          <w:cantSplit/>
        </w:trPr>
        <w:tc>
          <w:tcPr>
            <w:tcW w:type="dxa" w:w="3096"/>
            <w:vAlign w:val="center"/>
            <w:shd w:fill="F1F5F6"/>
          </w:tcPr>
          <w:p>
            <w:pPr>
              <w:spacing w:after="0"/>
            </w:pPr>
            <w:r/>
            <w:r>
              <w:rPr>
                <w:rFonts w:ascii="Aptos" w:hAnsi="Aptos"/>
                <w:b w:val="0"/>
                <w:sz w:val="16"/>
              </w:rPr>
              <w:t>Rely on current charter, call authority and available claims fund; timing of a call may be less predictable.</w:t>
            </w:r>
          </w:p>
        </w:tc>
        <w:tc>
          <w:tcPr>
            <w:tcW w:type="dxa" w:w="3096"/>
            <w:vAlign w:val="center"/>
            <w:shd w:fill="F1F5F6"/>
          </w:tcPr>
          <w:p>
            <w:pPr>
              <w:spacing w:after="0"/>
            </w:pPr>
            <w:r/>
            <w:r>
              <w:rPr>
                <w:rFonts w:ascii="Aptos" w:hAnsi="Aptos"/>
                <w:b w:val="0"/>
                <w:sz w:val="16"/>
              </w:rPr>
              <w:t>Rely on approved capital target, reserve policy, reinsurance tower and documented call cap.</w:t>
            </w:r>
          </w:p>
        </w:tc>
        <w:tc>
          <w:tcPr>
            <w:tcW w:type="dxa" w:w="3672"/>
            <w:vAlign w:val="center"/>
            <w:shd w:fill="F1F5F6"/>
          </w:tcPr>
          <w:p>
            <w:pPr>
              <w:spacing w:after="0"/>
            </w:pPr>
            <w:r/>
            <w:r>
              <w:rPr>
                <w:rFonts w:ascii="Aptos" w:hAnsi="Aptos"/>
                <w:b w:val="0"/>
                <w:sz w:val="16"/>
              </w:rPr>
              <w:t>Require written transition terms, monthly liquidity reporting and board approval of any call; price the uncertainty as contingent exposure.</w:t>
            </w:r>
          </w:p>
        </w:tc>
      </w:tr>
      <w:tr>
        <w:trPr>
          <w:cantSplit/>
        </w:trPr>
        <w:tc>
          <w:tcPr>
            <w:tcW w:type="dxa" w:w="3096"/>
            <w:vAlign w:val="center"/>
          </w:tcPr>
          <w:p>
            <w:pPr>
              <w:spacing w:after="0"/>
            </w:pPr>
            <w:r/>
            <w:r>
              <w:rPr>
                <w:rFonts w:ascii="Aptos" w:hAnsi="Aptos"/>
                <w:b w:val="0"/>
                <w:sz w:val="16"/>
              </w:rPr>
              <w:t>Claims decisions may be centralized while procedures are being standardized.</w:t>
            </w:r>
          </w:p>
        </w:tc>
        <w:tc>
          <w:tcPr>
            <w:tcW w:type="dxa" w:w="3096"/>
            <w:vAlign w:val="center"/>
          </w:tcPr>
          <w:p>
            <w:pPr>
              <w:spacing w:after="0"/>
            </w:pPr>
            <w:r/>
            <w:r>
              <w:rPr>
                <w:rFonts w:ascii="Aptos" w:hAnsi="Aptos"/>
                <w:b w:val="0"/>
                <w:sz w:val="16"/>
              </w:rPr>
              <w:t>Published authority matrix, service standards and member dispute route.</w:t>
            </w:r>
          </w:p>
        </w:tc>
        <w:tc>
          <w:tcPr>
            <w:tcW w:type="dxa" w:w="3672"/>
            <w:vAlign w:val="center"/>
          </w:tcPr>
          <w:p>
            <w:pPr>
              <w:spacing w:after="0"/>
            </w:pPr>
            <w:r/>
            <w:r>
              <w:rPr>
                <w:rFonts w:ascii="Aptos" w:hAnsi="Aptos"/>
                <w:b w:val="0"/>
                <w:sz w:val="16"/>
              </w:rPr>
              <w:t>Obtain named claims contacts and escalation timetable before onboarding.</w:t>
            </w:r>
          </w:p>
        </w:tc>
      </w:tr>
    </w:tbl>
    <w:p>
      <w:pPr>
        <w:spacing w:after="0"/>
      </w:pPr>
    </w:p>
    <w:p>
      <w:r>
        <w:rPr>
          <w:b/>
        </w:rPr>
        <w:t xml:space="preserve">Effect: </w:t>
      </w:r>
      <w:r>
        <w:t>during transition, uncertainty affects cost volatility, coverage interpretation and assessability; after completion, controls may reduce variance but do not eliminate underwriting or governance risk. The board should not rely on the end state until a dated implementation certificate and governing-document amendments are available.</w:t>
      </w:r>
    </w:p>
    <w:p>
      <w:pPr>
        <w:pStyle w:val="Heading1"/>
      </w:pPr>
      <w:r>
        <w:t>5. Compliance, governance and objections</w:t>
      </w:r>
    </w:p>
    <w:p>
      <w:r>
        <w:rPr>
          <w:b/>
        </w:rPr>
        <w:t xml:space="preserve">Bellhaven and Brindlemere. </w:t>
      </w:r>
      <w:r>
        <w:t>General principle: a public entity should document authority, conflicts, procurement, records/disclosure, budget legality and delegated signing in either jurisdiction. Jurisdiction-specific facts require confirmation. Bellhaven should verify its school-district enabling rules, tender thresholds, board approval and public-record treatment. In Brindlemere, verify the equivalent public-body procurement and pooling rules with the Brindlemere Regional Office; its name is a comparator, not evidence of a Bellhaven exemption. Sunderly Health Network is a labelled comparator for how a public network might report reserves and conflicts, not a regulator, legal authority or verified source.</w:t>
      </w:r>
    </w:p>
    <w:p>
      <w:pPr>
        <w:pStyle w:val="ListBullet"/>
        <w:spacing w:after="30"/>
        <w:ind w:left="259"/>
      </w:pPr>
      <w:r>
        <w:t>Conflict and voting: ask for conflicted-member recusal, vote weighting, quorum, related-party declarations and whether Bellhaven can dissent. Collective governance can improve influence over claims and risk standards, but it can constrain Bellhaven’s discretion.</w:t>
      </w:r>
    </w:p>
    <w:p>
      <w:pPr>
        <w:pStyle w:val="ListBullet"/>
        <w:spacing w:after="30"/>
        <w:ind w:left="259"/>
      </w:pPr>
      <w:r>
        <w:t>Reserves and reinsurance: request audited reserve roll-forward, actuarial method, catastrophe scenarios, attachment points, limits, exclusions and counterparty quality. These determine whether claims are paid from cash or become a call.</w:t>
      </w:r>
    </w:p>
    <w:p>
      <w:pPr>
        <w:pStyle w:val="ListBullet"/>
        <w:spacing w:after="30"/>
        <w:ind w:left="259"/>
      </w:pPr>
      <w:r>
        <w:t>Procurement and disclosure: membership is not automatically exempt from applicable procurement rules. Confirm competition/sole-source rationale, board minutes and public-record redactions; minimize member-specific claims, security details and confidential financial data in the external pack.</w:t>
      </w:r>
    </w:p>
    <w:p>
      <w:pPr>
        <w:pStyle w:val="ListBullet"/>
        <w:spacing w:after="30"/>
        <w:ind w:left="259"/>
      </w:pPr>
      <w:r>
        <w:t>Withdrawal: confirm notice date, run-off or tail claims, open-claim funding, unpaid assessments, collateral and any continuing obligation after departure. “Can leave” is not a complete exit answer.</w:t>
      </w:r>
    </w:p>
    <w:p>
      <w:pPr>
        <w:pStyle w:val="Heading2"/>
        <w:pageBreakBefore/>
      </w:pPr>
      <w:r>
        <w:t>Questions a prudent board should put on the record</w:t>
      </w:r>
    </w:p>
    <w:tbl>
      <w:tblPr>
        <w:tblStyle w:val="TableGrid"/>
        <w:tblW w:type="auto" w:w="0"/>
        <w:jc w:val="center"/>
        <w:tblLook w:firstColumn="1" w:firstRow="1" w:lastColumn="0" w:lastRow="0" w:noHBand="0" w:noVBand="1" w:val="04A0"/>
      </w:tblPr>
      <w:tblGrid>
        <w:gridCol w:w="5227"/>
        <w:gridCol w:w="5227"/>
      </w:tblGrid>
      <w:tr>
        <w:trPr>
          <w:cantSplit/>
        </w:trPr>
        <w:tc>
          <w:tcPr>
            <w:tcW w:type="dxa" w:w="3456"/>
            <w:vAlign w:val="center"/>
            <w:shd w:fill="24556B"/>
          </w:tcPr>
          <w:p>
            <w:pPr>
              <w:spacing w:after="0"/>
            </w:pPr>
            <w:r/>
            <w:r>
              <w:rPr>
                <w:rFonts w:ascii="Aptos" w:hAnsi="Aptos"/>
                <w:b/>
                <w:color w:val="FFFFFF"/>
                <w:sz w:val="16"/>
              </w:rPr>
              <w:t>Question</w:t>
            </w:r>
          </w:p>
        </w:tc>
        <w:tc>
          <w:tcPr>
            <w:tcW w:type="dxa" w:w="6408"/>
            <w:vAlign w:val="center"/>
            <w:shd w:fill="24556B"/>
          </w:tcPr>
          <w:p>
            <w:pPr>
              <w:spacing w:after="0"/>
            </w:pPr>
            <w:r/>
            <w:r>
              <w:rPr>
                <w:rFonts w:ascii="Aptos" w:hAnsi="Aptos"/>
                <w:b/>
                <w:color w:val="FFFFFF"/>
                <w:sz w:val="16"/>
              </w:rPr>
              <w:t>Direct answer / confirmation boundary</w:t>
            </w:r>
          </w:p>
        </w:tc>
      </w:tr>
      <w:tr>
        <w:trPr>
          <w:cantSplit/>
        </w:trPr>
        <w:tc>
          <w:tcPr>
            <w:tcW w:type="dxa" w:w="3456"/>
            <w:vAlign w:val="center"/>
            <w:shd w:fill="F1F5F6"/>
          </w:tcPr>
          <w:p>
            <w:pPr>
              <w:spacing w:after="0"/>
            </w:pPr>
            <w:r/>
            <w:r>
              <w:rPr>
                <w:rFonts w:ascii="Aptos" w:hAnsi="Aptos"/>
                <w:b w:val="0"/>
                <w:sz w:val="16"/>
              </w:rPr>
              <w:t>Can an additional assessment be billed?</w:t>
            </w:r>
          </w:p>
        </w:tc>
        <w:tc>
          <w:tcPr>
            <w:tcW w:type="dxa" w:w="6408"/>
            <w:vAlign w:val="center"/>
            <w:shd w:fill="F1F5F6"/>
          </w:tcPr>
          <w:p>
            <w:pPr>
              <w:spacing w:after="0"/>
            </w:pPr>
            <w:r/>
            <w:r>
              <w:rPr>
                <w:rFonts w:ascii="Aptos" w:hAnsi="Aptos"/>
                <w:b w:val="0"/>
                <w:sz w:val="16"/>
              </w:rPr>
              <w:t>Yes, potentially; it is a contingent call, not a fixed premium. Cap, formula, trigger and notice remain to be confirmed.</w:t>
            </w:r>
          </w:p>
        </w:tc>
      </w:tr>
      <w:tr>
        <w:trPr>
          <w:cantSplit/>
        </w:trPr>
        <w:tc>
          <w:tcPr>
            <w:tcW w:type="dxa" w:w="3456"/>
            <w:vAlign w:val="center"/>
          </w:tcPr>
          <w:p>
            <w:pPr>
              <w:spacing w:after="0"/>
            </w:pPr>
            <w:r/>
            <w:r>
              <w:rPr>
                <w:rFonts w:ascii="Aptos" w:hAnsi="Aptos"/>
                <w:b w:val="0"/>
                <w:sz w:val="16"/>
              </w:rPr>
              <w:t>Who controls claims and disputes?</w:t>
            </w:r>
          </w:p>
        </w:tc>
        <w:tc>
          <w:tcPr>
            <w:tcW w:type="dxa" w:w="6408"/>
            <w:vAlign w:val="center"/>
          </w:tcPr>
          <w:p>
            <w:pPr>
              <w:spacing w:after="0"/>
            </w:pPr>
            <w:r/>
            <w:r>
              <w:rPr>
                <w:rFonts w:ascii="Aptos" w:hAnsi="Aptos"/>
                <w:b w:val="0"/>
                <w:sz w:val="16"/>
              </w:rPr>
              <w:t>The agreement should identify authority and service standards; Bellhaven must review them before voting.</w:t>
            </w:r>
          </w:p>
        </w:tc>
      </w:tr>
      <w:tr>
        <w:trPr>
          <w:cantSplit/>
        </w:trPr>
        <w:tc>
          <w:tcPr>
            <w:tcW w:type="dxa" w:w="3456"/>
            <w:vAlign w:val="center"/>
            <w:shd w:fill="F1F5F6"/>
          </w:tcPr>
          <w:p>
            <w:pPr>
              <w:spacing w:after="0"/>
            </w:pPr>
            <w:r/>
            <w:r>
              <w:rPr>
                <w:rFonts w:ascii="Aptos" w:hAnsi="Aptos"/>
                <w:b w:val="0"/>
                <w:sz w:val="16"/>
              </w:rPr>
              <w:t>Are reserves sufficient?</w:t>
            </w:r>
          </w:p>
        </w:tc>
        <w:tc>
          <w:tcPr>
            <w:tcW w:type="dxa" w:w="6408"/>
            <w:vAlign w:val="center"/>
            <w:shd w:fill="F1F5F6"/>
          </w:tcPr>
          <w:p>
            <w:pPr>
              <w:spacing w:after="0"/>
            </w:pPr>
            <w:r/>
            <w:r>
              <w:rPr>
                <w:rFonts w:ascii="Aptos" w:hAnsi="Aptos"/>
                <w:b w:val="0"/>
                <w:sz w:val="16"/>
              </w:rPr>
              <w:t>Unknown here. Obtain audited statements, actuarial work, reserve policy, claims fund liquidity and reinsurance evidence.</w:t>
            </w:r>
          </w:p>
        </w:tc>
      </w:tr>
      <w:tr>
        <w:trPr>
          <w:cantSplit/>
        </w:trPr>
        <w:tc>
          <w:tcPr>
            <w:tcW w:type="dxa" w:w="3456"/>
            <w:vAlign w:val="center"/>
          </w:tcPr>
          <w:p>
            <w:pPr>
              <w:spacing w:after="0"/>
            </w:pPr>
            <w:r/>
            <w:r>
              <w:rPr>
                <w:rFonts w:ascii="Aptos" w:hAnsi="Aptos"/>
                <w:b w:val="0"/>
                <w:sz w:val="16"/>
              </w:rPr>
              <w:t>Will membership guarantee savings or coverage?</w:t>
            </w:r>
          </w:p>
        </w:tc>
        <w:tc>
          <w:tcPr>
            <w:tcW w:type="dxa" w:w="6408"/>
            <w:vAlign w:val="center"/>
          </w:tcPr>
          <w:p>
            <w:pPr>
              <w:spacing w:after="0"/>
            </w:pPr>
            <w:r/>
            <w:r>
              <w:rPr>
                <w:rFonts w:ascii="Aptos" w:hAnsi="Aptos"/>
                <w:b w:val="0"/>
                <w:sz w:val="16"/>
              </w:rPr>
              <w:t>No. The illustrative model shows a possible saving that disappears under one adverse call sensitivity; terms and claims outcomes are not guaranteed.</w:t>
            </w:r>
          </w:p>
        </w:tc>
      </w:tr>
      <w:tr>
        <w:trPr>
          <w:cantSplit/>
        </w:trPr>
        <w:tc>
          <w:tcPr>
            <w:tcW w:type="dxa" w:w="3456"/>
            <w:vAlign w:val="center"/>
            <w:shd w:fill="F1F5F6"/>
          </w:tcPr>
          <w:p>
            <w:pPr>
              <w:spacing w:after="0"/>
            </w:pPr>
            <w:r/>
            <w:r>
              <w:rPr>
                <w:rFonts w:ascii="Aptos" w:hAnsi="Aptos"/>
                <w:b w:val="0"/>
                <w:sz w:val="16"/>
              </w:rPr>
              <w:t>What would the auditor need?</w:t>
            </w:r>
          </w:p>
        </w:tc>
        <w:tc>
          <w:tcPr>
            <w:tcW w:type="dxa" w:w="6408"/>
            <w:vAlign w:val="center"/>
            <w:shd w:fill="F1F5F6"/>
          </w:tcPr>
          <w:p>
            <w:pPr>
              <w:spacing w:after="0"/>
            </w:pPr>
            <w:r/>
            <w:r>
              <w:rPr>
                <w:rFonts w:ascii="Aptos" w:hAnsi="Aptos"/>
                <w:b w:val="0"/>
                <w:sz w:val="16"/>
              </w:rPr>
              <w:t>Signed governing documents, procurement file, conflict declarations, vote record, contribution accounting and assessment recognition policy.</w:t>
            </w:r>
          </w:p>
        </w:tc>
      </w:tr>
      <w:tr>
        <w:trPr>
          <w:cantSplit/>
        </w:trPr>
        <w:tc>
          <w:tcPr>
            <w:tcW w:type="dxa" w:w="3456"/>
            <w:vAlign w:val="center"/>
          </w:tcPr>
          <w:p>
            <w:pPr>
              <w:spacing w:after="0"/>
            </w:pPr>
            <w:r/>
            <w:r>
              <w:rPr>
                <w:rFonts w:ascii="Aptos" w:hAnsi="Aptos"/>
                <w:b w:val="0"/>
                <w:sz w:val="16"/>
              </w:rPr>
              <w:t>What if a participant conflicts with Bellhaven?</w:t>
            </w:r>
          </w:p>
        </w:tc>
        <w:tc>
          <w:tcPr>
            <w:tcW w:type="dxa" w:w="6408"/>
            <w:vAlign w:val="center"/>
          </w:tcPr>
          <w:p>
            <w:pPr>
              <w:spacing w:after="0"/>
            </w:pPr>
            <w:r/>
            <w:r>
              <w:rPr>
                <w:rFonts w:ascii="Aptos" w:hAnsi="Aptos"/>
                <w:b w:val="0"/>
                <w:sz w:val="16"/>
              </w:rPr>
              <w:t>Require disclosure, recusal and documented voting; confirm whether member interests can override Bellhaven’s position.</w:t>
            </w:r>
          </w:p>
        </w:tc>
      </w:tr>
    </w:tbl>
    <w:p>
      <w:pPr>
        <w:spacing w:after="0"/>
      </w:pPr>
    </w:p>
    <w:p>
      <w:pPr>
        <w:pStyle w:val="Heading1"/>
      </w:pPr>
      <w:r>
        <w:t>6. Recommendation and qualification</w:t>
      </w:r>
    </w:p>
    <w:p>
      <w:r>
        <w:rPr>
          <w:b/>
        </w:rPr>
        <w:t xml:space="preserve">The three-year illustrative comparison is $1.80m commercial premium versus $1.50m planned Greymarch contributions; with the stated $0.30m adverse assessment sensitivity, Greymarch also totals $1.80m. </w:t>
      </w:r>
      <w:r>
        <w:t>That result supports a measured risk-transfer choice, not a guaranteed saving. Commercial insurance offers a skeptical treasurer a clearer invoice and carrier claims machinery, while pooling offers potential member influence and tailored public-entity risk management at the cost of collective governance and contingent liquidity.</w:t>
      </w:r>
    </w:p>
    <w:p>
      <w:r>
        <w:rPr>
          <w:b/>
        </w:rPr>
        <w:t xml:space="preserve">Final decision: </w:t>
      </w:r>
      <w:r>
        <w:t>Bellhaven’s board should approve joining Greymarch for a three-year initial term, subject to a documented cap on any additional assessment and receipt before the vote of the governing documents, reserve/reinsurance evidence, claims authority and procurement/governance confirmations identified above. The board should record that qualification as part of the decision; no alternative course is recommended in this paper.</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4"/>
      </w:rPr>
      <w:t xml:space="preserve">Confidential board working paper  •  Prepared by Tomás Okwuosa, Finance Manager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3"/>
        <w:sz w:val="14"/>
      </w:rPr>
      <w:t>GREYMARCH PUBLIC ENTITY RISK POOL  |  BOARD PAPER  |  20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eastAsia="Aptos Display"/>
      <w:b/>
      <w:bCs/>
      <w:color w:val="19324A"/>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2C5F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eastAsia="Aptos Display"/>
      <w:b/>
      <w:color w:val="19324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