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1F4E78"/>
          <w:sz w:val="36"/>
        </w:rPr>
        <w:t>Corrected Compliance Assessment</w:t>
      </w:r>
    </w:p>
    <w:p>
      <w:pPr>
        <w:spacing w:after="100"/>
      </w:pPr>
      <w:r>
        <w:rPr>
          <w:rFonts w:ascii="Arial" w:hAnsi="Arial"/>
          <w:color w:val="595959"/>
          <w:sz w:val="20"/>
        </w:rPr>
        <w:t>Yewbank Clinic / Foxglove Analytics extract</w:t>
      </w:r>
    </w:p>
    <w:tbl>
      <w:tblPr>
        <w:tblW w:type="auto" w:w="0"/>
        <w:jc w:val="center"/>
        <w:tblLayout w:type="fixed"/>
        <w:tblLook w:firstColumn="1" w:firstRow="1" w:lastColumn="0" w:lastRow="0" w:noHBand="0" w:noVBand="1" w:val="04A0"/>
      </w:tblPr>
      <w:tblGrid>
        <w:gridCol w:w="3469"/>
        <w:gridCol w:w="3469"/>
        <w:gridCol w:w="3469"/>
      </w:tblGrid>
      <w:tr>
        <w:tc>
          <w:tcPr>
            <w:tcW w:type="dxa" w:w="3485"/>
            <w:shd w:fill="EAF2F8"/>
            <w:vAlign w:val="center"/>
            <w:tcMar>
              <w:top w:w="60" w:type="dxa"/>
              <w:start w:w="85" w:type="dxa"/>
              <w:bottom w:w="60" w:type="dxa"/>
              <w:end w:w="85" w:type="dxa"/>
            </w:tcMar>
            <w:tcBorders>
              <w:top w:val="single" w:sz="5" w:color="D9E2F3"/>
              <w:left w:val="single" w:sz="5" w:color="D9E2F3"/>
              <w:bottom w:val="single" w:sz="5" w:color="D9E2F3"/>
              <w:right w:val="single" w:sz="5" w:color="D9E2F3"/>
            </w:tcBorders>
          </w:tcPr>
          <w:p>
            <w:pPr>
              <w:spacing w:after="0" w:line="240" w:lineRule="auto"/>
            </w:pPr>
            <w:r>
              <w:rPr>
                <w:rFonts w:ascii="Arial" w:hAnsi="Arial"/>
                <w:b/>
                <w:color w:val="595959"/>
                <w:sz w:val="14"/>
              </w:rPr>
              <w:t>Prepared by</w:t>
              <w:br/>
            </w:r>
            <w:r>
              <w:rPr>
                <w:rFonts w:ascii="Arial" w:hAnsi="Arial"/>
                <w:b w:val="0"/>
                <w:sz w:val="16"/>
              </w:rPr>
              <w:t>Farida Ferreira, RN</w:t>
            </w:r>
          </w:p>
        </w:tc>
        <w:tc>
          <w:tcPr>
            <w:tcW w:type="dxa" w:w="3485"/>
            <w:shd w:fill="EAF2F8"/>
            <w:vAlign w:val="center"/>
            <w:tcMar>
              <w:top w:w="60" w:type="dxa"/>
              <w:start w:w="85" w:type="dxa"/>
              <w:bottom w:w="60" w:type="dxa"/>
              <w:end w:w="85" w:type="dxa"/>
            </w:tcMar>
            <w:tcBorders>
              <w:top w:val="single" w:sz="5" w:color="D9E2F3"/>
              <w:left w:val="single" w:sz="5" w:color="D9E2F3"/>
              <w:bottom w:val="single" w:sz="5" w:color="D9E2F3"/>
              <w:right w:val="single" w:sz="5" w:color="D9E2F3"/>
            </w:tcBorders>
          </w:tcPr>
          <w:p>
            <w:pPr>
              <w:spacing w:after="0" w:line="240" w:lineRule="auto"/>
            </w:pPr>
            <w:r>
              <w:rPr>
                <w:rFonts w:ascii="Arial" w:hAnsi="Arial"/>
                <w:b/>
                <w:color w:val="595959"/>
                <w:sz w:val="14"/>
              </w:rPr>
              <w:t>For</w:t>
              <w:br/>
            </w:r>
            <w:r>
              <w:rPr>
                <w:rFonts w:ascii="Arial" w:hAnsi="Arial"/>
                <w:b w:val="0"/>
                <w:sz w:val="16"/>
              </w:rPr>
              <w:t>Gildenhall Chambers / oversight submission</w:t>
            </w:r>
          </w:p>
        </w:tc>
        <w:tc>
          <w:tcPr>
            <w:tcW w:type="dxa" w:w="3485"/>
            <w:shd w:fill="EAF2F8"/>
            <w:vAlign w:val="center"/>
            <w:tcMar>
              <w:top w:w="60" w:type="dxa"/>
              <w:start w:w="85" w:type="dxa"/>
              <w:bottom w:w="60" w:type="dxa"/>
              <w:end w:w="85" w:type="dxa"/>
            </w:tcMar>
            <w:tcBorders>
              <w:top w:val="single" w:sz="5" w:color="D9E2F3"/>
              <w:left w:val="single" w:sz="5" w:color="D9E2F3"/>
              <w:bottom w:val="single" w:sz="5" w:color="D9E2F3"/>
              <w:right w:val="single" w:sz="5" w:color="D9E2F3"/>
            </w:tcBorders>
          </w:tcPr>
          <w:p>
            <w:pPr>
              <w:spacing w:after="0" w:line="240" w:lineRule="auto"/>
            </w:pPr>
            <w:r>
              <w:rPr>
                <w:rFonts w:ascii="Arial" w:hAnsi="Arial"/>
                <w:b/>
                <w:color w:val="595959"/>
                <w:sz w:val="14"/>
              </w:rPr>
              <w:t>Version / status</w:t>
              <w:br/>
            </w:r>
            <w:r>
              <w:rPr>
                <w:rFonts w:ascii="Arial" w:hAnsi="Arial"/>
                <w:b/>
                <w:color w:val="C00000"/>
                <w:sz w:val="16"/>
              </w:rPr>
              <w:t>0.1 | PENDING - no record-level evidence supplied</w:t>
            </w:r>
          </w:p>
        </w:tc>
      </w:tr>
      <w:tr>
        <w:tc>
          <w:tcPr>
            <w:tcW w:type="dxa" w:w="3485"/>
            <w:shd w:fill="F8F8F8"/>
            <w:vAlign w:val="center"/>
            <w:tcMar>
              <w:top w:w="60" w:type="dxa"/>
              <w:start w:w="85" w:type="dxa"/>
              <w:bottom w:w="60" w:type="dxa"/>
              <w:end w:w="85" w:type="dxa"/>
            </w:tcMar>
            <w:tcBorders>
              <w:top w:val="single" w:sz="5" w:color="D9E2F3"/>
              <w:left w:val="single" w:sz="5" w:color="D9E2F3"/>
              <w:bottom w:val="single" w:sz="5" w:color="D9E2F3"/>
              <w:right w:val="single" w:sz="5" w:color="D9E2F3"/>
            </w:tcBorders>
          </w:tcPr>
          <w:p>
            <w:pPr>
              <w:spacing w:after="0" w:line="240" w:lineRule="auto"/>
            </w:pPr>
            <w:r>
              <w:rPr>
                <w:rFonts w:ascii="Arial" w:hAnsi="Arial"/>
                <w:b/>
                <w:color w:val="595959"/>
                <w:sz w:val="14"/>
              </w:rPr>
              <w:t>Purpose</w:t>
              <w:br/>
            </w:r>
            <w:r>
              <w:rPr>
                <w:rFonts w:ascii="Arial" w:hAnsi="Arial"/>
                <w:b w:val="0"/>
                <w:sz w:val="16"/>
              </w:rPr>
              <w:t>Correct the assessment framework and submit a qualified Friday position</w:t>
            </w:r>
          </w:p>
        </w:tc>
        <w:tc>
          <w:tcPr>
            <w:tcW w:type="dxa" w:w="3485"/>
            <w:shd w:fill="F8F8F8"/>
            <w:vAlign w:val="center"/>
            <w:tcMar>
              <w:top w:w="60" w:type="dxa"/>
              <w:start w:w="85" w:type="dxa"/>
              <w:bottom w:w="60" w:type="dxa"/>
              <w:end w:w="85" w:type="dxa"/>
            </w:tcMar>
            <w:tcBorders>
              <w:top w:val="single" w:sz="5" w:color="D9E2F3"/>
              <w:left w:val="single" w:sz="5" w:color="D9E2F3"/>
              <w:bottom w:val="single" w:sz="5" w:color="D9E2F3"/>
              <w:right w:val="single" w:sz="5" w:color="D9E2F3"/>
            </w:tcBorders>
          </w:tcPr>
          <w:p>
            <w:pPr>
              <w:spacing w:after="0" w:line="240" w:lineRule="auto"/>
            </w:pPr>
            <w:r>
              <w:rPr>
                <w:rFonts w:ascii="Arial" w:hAnsi="Arial"/>
                <w:b/>
                <w:color w:val="595959"/>
                <w:sz w:val="14"/>
              </w:rPr>
              <w:t>Context</w:t>
              <w:br/>
            </w:r>
            <w:r>
              <w:rPr>
                <w:rFonts w:ascii="Arial" w:hAnsi="Arial"/>
                <w:b w:val="0"/>
                <w:sz w:val="16"/>
              </w:rPr>
              <w:t>England and Wales requirements as at 31 January 2025</w:t>
            </w:r>
          </w:p>
        </w:tc>
        <w:tc>
          <w:tcPr>
            <w:tcW w:type="dxa" w:w="3485"/>
            <w:shd w:fill="F8F8F8"/>
            <w:vAlign w:val="center"/>
            <w:tcMar>
              <w:top w:w="60" w:type="dxa"/>
              <w:start w:w="85" w:type="dxa"/>
              <w:bottom w:w="60" w:type="dxa"/>
              <w:end w:w="85" w:type="dxa"/>
            </w:tcMar>
            <w:tcBorders>
              <w:top w:val="single" w:sz="5" w:color="D9E2F3"/>
              <w:left w:val="single" w:sz="5" w:color="D9E2F3"/>
              <w:bottom w:val="single" w:sz="5" w:color="D9E2F3"/>
              <w:right w:val="single" w:sz="5" w:color="D9E2F3"/>
            </w:tcBorders>
          </w:tcPr>
          <w:p>
            <w:pPr>
              <w:spacing w:after="0" w:line="240" w:lineRule="auto"/>
            </w:pPr>
            <w:r>
              <w:rPr>
                <w:rFonts w:ascii="Arial" w:hAnsi="Arial"/>
                <w:b/>
                <w:color w:val="595959"/>
                <w:sz w:val="14"/>
              </w:rPr>
              <w:t>Next review</w:t>
              <w:br/>
            </w:r>
            <w:r>
              <w:rPr>
                <w:rFonts w:ascii="Arial" w:hAnsi="Arial"/>
                <w:b w:val="0"/>
                <w:sz w:val="16"/>
              </w:rPr>
              <w:t>Friday submission gate</w:t>
            </w:r>
          </w:p>
        </w:tc>
      </w:tr>
    </w:tbl>
    <w:p>
      <w:pPr>
        <w:spacing w:after="0"/>
      </w:pPr>
    </w:p>
    <w:p>
      <w:pPr>
        <w:spacing w:before="120" w:after="40"/>
      </w:pPr>
      <w:r>
        <w:rPr>
          <w:rFonts w:ascii="Arial" w:hAnsi="Arial"/>
          <w:b/>
          <w:color w:val="1F4E78"/>
          <w:sz w:val="24"/>
        </w:rPr>
        <w:t>Purpose, evidence basis and current correction status</w:t>
      </w:r>
    </w:p>
    <w:p>
      <w:pPr>
        <w:spacing w:after="50" w:line="250" w:lineRule="auto"/>
      </w:pPr>
      <w:r>
        <w:rPr>
          <w:rFonts w:ascii="Arial" w:hAnsi="Arial"/>
          <w:sz w:val="18"/>
        </w:rPr>
        <w:t>This assessment is for Gildenhall Chambers to support a Friday submission to the oversight body and to direct safe follow-up by Overbrook Works. It corrects the reporting method, not the live case system. The current result is a qualified assessment position; it is not a completed case-record review.</w:t>
      </w:r>
    </w:p>
    <w:tbl>
      <w:tblPr>
        <w:tblW w:type="auto" w:w="0"/>
        <w:jc w:val="center"/>
        <w:tblLayout w:type="fixed"/>
        <w:tblLook w:firstColumn="1" w:firstRow="1" w:lastColumn="0" w:lastRow="0" w:noHBand="0" w:noVBand="1" w:val="04A0"/>
      </w:tblPr>
      <w:tblGrid>
        <w:gridCol w:w="2088"/>
        <w:gridCol w:w="8280"/>
      </w:tblGrid>
      <w:tr>
        <w:tc>
          <w:tcPr>
            <w:tcW w:type="dxa" w:w="5204"/>
            <w:shd w:fill="FFF2CC"/>
            <w:tcBorders>
              <w:top w:val="single" w:sz="6" w:color="D9D9D9"/>
              <w:left w:val="single" w:sz="6" w:color="D9D9D9"/>
              <w:bottom w:val="single" w:sz="6" w:color="D9D9D9"/>
              <w:right w:val="single" w:sz="6" w:color="D9D9D9"/>
            </w:tcBorders>
            <w:vAlign w:val="center"/>
            <w:tcMar>
              <w:top w:w="70" w:type="dxa"/>
              <w:start w:w="90" w:type="dxa"/>
              <w:bottom w:w="70" w:type="dxa"/>
              <w:end w:w="90" w:type="dxa"/>
            </w:tcMar>
          </w:tcPr>
          <w:p>
            <w:pPr>
              <w:spacing w:after="0" w:before="0" w:line="240" w:lineRule="auto"/>
            </w:pPr>
            <w:r/>
            <w:r>
              <w:rPr>
                <w:rFonts w:ascii="Arial" w:hAnsi="Arial"/>
                <w:b/>
                <w:color w:val="C00000"/>
                <w:sz w:val="17"/>
              </w:rPr>
              <w:t>Evidence limit</w:t>
            </w:r>
          </w:p>
        </w:tc>
        <w:tc>
          <w:tcPr>
            <w:tcW w:type="dxa" w:w="5204"/>
            <w:shd w:fill="FFF2CC"/>
            <w:tcBorders>
              <w:top w:val="single" w:sz="6" w:color="D9D9D9"/>
              <w:left w:val="single" w:sz="6" w:color="D9D9D9"/>
              <w:bottom w:val="single" w:sz="6" w:color="D9D9D9"/>
              <w:right w:val="single" w:sz="6" w:color="D9D9D9"/>
            </w:tcBorders>
            <w:vAlign w:val="center"/>
            <w:tcMar>
              <w:top w:w="70" w:type="dxa"/>
              <w:start w:w="90" w:type="dxa"/>
              <w:bottom w:w="70" w:type="dxa"/>
              <w:end w:w="90" w:type="dxa"/>
            </w:tcMar>
          </w:tcPr>
          <w:p>
            <w:pPr>
              <w:spacing w:after="0" w:before="0" w:line="240" w:lineRule="auto"/>
            </w:pPr>
            <w:r/>
            <w:r>
              <w:rPr>
                <w:rFonts w:ascii="Arial" w:hAnsi="Arial"/>
                <w:b w:val="0"/>
                <w:sz w:val="17"/>
              </w:rPr>
              <w:t>No case export, record-level evidence or live-system access was supplied. Only the reported themes are available: duplicated closures, inconsistent severity labels, a disputed rate and a potential privacy concern. No live-system review was performed; counts, case facts, numerator, denominator and final rate remain pending.</w:t>
            </w:r>
          </w:p>
        </w:tc>
      </w:tr>
    </w:tbl>
    <w:p>
      <w:pPr>
        <w:spacing w:after="0"/>
      </w:pPr>
    </w:p>
    <w:p>
      <w:pPr>
        <w:spacing w:after="50" w:line="250" w:lineRule="auto"/>
      </w:pPr>
      <w:r>
        <w:rPr>
          <w:rFonts w:ascii="Arial" w:hAnsi="Arial"/>
          <w:b/>
          <w:sz w:val="18"/>
        </w:rPr>
        <w:t xml:space="preserve">What was corrected in this package: </w:t>
      </w:r>
      <w:r>
        <w:rPr>
          <w:rFonts w:ascii="Arial" w:hAnsi="Arial"/>
          <w:sz w:val="18"/>
        </w:rPr>
        <w:t>the disputed rate is suppressed and replaced with the matching workbook status “PENDING - no record-level evidence supplied”; a controlled reconciliation register, issue queue and change log are in place; data-quality limitations and the potential privacy concern are visible rather than absorbed into an aggregate result.</w:t>
      </w:r>
    </w:p>
    <w:p>
      <w:pPr>
        <w:spacing w:before="120" w:after="40"/>
      </w:pPr>
      <w:r>
        <w:rPr>
          <w:rFonts w:ascii="Arial" w:hAnsi="Arial"/>
          <w:b/>
          <w:color w:val="1F4E78"/>
          <w:sz w:val="24"/>
        </w:rPr>
        <w:t>Population and reproducible rate rule</w:t>
      </w:r>
    </w:p>
    <w:p>
      <w:pPr>
        <w:spacing w:after="50" w:line="250" w:lineRule="auto"/>
      </w:pPr>
      <w:r>
        <w:rPr>
          <w:rFonts w:ascii="Arial" w:hAnsi="Arial"/>
          <w:sz w:val="18"/>
        </w:rPr>
        <w:t>The intended population is every enterprise case record within the relevant assessment period and scope once a validated Yewbank Clinic / Foxglove Analytics source export identifies it. An eligible record is in that scope. An assessable record is an eligible, unique underlying event with sufficient closure and severity evidence for a reviewer to record a compliant or noncompliant outcome.</w:t>
      </w:r>
    </w:p>
    <w:tbl>
      <w:tblPr>
        <w:tblW w:type="auto" w:w="0"/>
        <w:jc w:val="center"/>
        <w:tblLayout w:type="fixed"/>
        <w:tblLook w:firstColumn="1" w:firstRow="1" w:lastColumn="0" w:lastRow="0" w:noHBand="0" w:noVBand="1" w:val="04A0"/>
      </w:tblPr>
      <w:tblGrid>
        <w:gridCol w:w="5204"/>
        <w:gridCol w:w="5204"/>
      </w:tblGrid>
      <w:tr>
        <w:trPr>
          <w:tblHeader w:val="true"/>
        </w:trPr>
        <w:tc>
          <w:tcPr>
            <w:tcW w:type="dxa" w:w="1800"/>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6"/>
              </w:rPr>
              <w:t>Measure</w:t>
            </w:r>
          </w:p>
        </w:tc>
        <w:tc>
          <w:tcPr>
            <w:tcW w:type="dxa" w:w="8640"/>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6"/>
              </w:rPr>
              <w:t>Rule once validated evidence is loaded</w:t>
            </w:r>
          </w:p>
        </w:tc>
      </w:tr>
      <w:tr>
        <w:tc>
          <w:tcPr>
            <w:tcW w:type="dxa" w:w="180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Denominator</w:t>
            </w:r>
          </w:p>
        </w:tc>
        <w:tc>
          <w:tcPr>
            <w:tcW w:type="dxa" w:w="864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Count each unique eligible, assessable underlying event once where the outcome is confirmed Compliant or Noncompliant.</w:t>
            </w:r>
          </w:p>
        </w:tc>
      </w:tr>
      <w:tr>
        <w:tc>
          <w:tcPr>
            <w:tcW w:type="dxa" w:w="1800"/>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Numerator</w:t>
            </w:r>
          </w:p>
        </w:tc>
        <w:tc>
          <w:tcPr>
            <w:tcW w:type="dxa" w:w="8640"/>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Count the subset of that denominator with a confirmed Compliant outcome.</w:t>
            </w:r>
          </w:p>
        </w:tc>
      </w:tr>
      <w:tr>
        <w:tc>
          <w:tcPr>
            <w:tcW w:type="dxa" w:w="180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Rate</w:t>
            </w:r>
          </w:p>
        </w:tc>
        <w:tc>
          <w:tcPr>
            <w:tcW w:type="dxa" w:w="864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Numerator ÷ denominator. Until evidence is loaded and unresolved items are reviewed, the rate is not calculable and remains PENDING.</w:t>
            </w:r>
          </w:p>
        </w:tc>
      </w:tr>
      <w:tr>
        <w:tc>
          <w:tcPr>
            <w:tcW w:type="dxa" w:w="1800"/>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Not silently scored</w:t>
            </w:r>
          </w:p>
        </w:tc>
        <w:tc>
          <w:tcPr>
            <w:tcW w:type="dxa" w:w="8640"/>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Pending review, visible data-quality limitation and privacy escalation do not enter either numerator or denominator.</w:t>
            </w:r>
          </w:p>
        </w:tc>
      </w:tr>
    </w:tbl>
    <w:p>
      <w:pPr>
        <w:spacing w:after="0"/>
      </w:pPr>
    </w:p>
    <w:p>
      <w:pPr>
        <w:spacing w:before="120" w:after="40"/>
      </w:pPr>
      <w:r>
        <w:rPr>
          <w:rFonts w:ascii="Arial" w:hAnsi="Arial"/>
          <w:b/>
          <w:color w:val="1F4E78"/>
          <w:sz w:val="24"/>
        </w:rPr>
        <w:t>Correction and reconciliation rules</w:t>
      </w:r>
    </w:p>
    <w:tbl>
      <w:tblPr>
        <w:tblW w:type="auto" w:w="0"/>
        <w:jc w:val="center"/>
        <w:tblLayout w:type="fixed"/>
        <w:tblLook w:firstColumn="1" w:firstRow="1" w:lastColumn="0" w:lastRow="0" w:noHBand="0" w:noVBand="1" w:val="04A0"/>
      </w:tblPr>
      <w:tblGrid>
        <w:gridCol w:w="5204"/>
        <w:gridCol w:w="5204"/>
      </w:tblGrid>
      <w:tr>
        <w:trPr>
          <w:tblHeader w:val="true"/>
        </w:trPr>
        <w:tc>
          <w:tcPr>
            <w:tcW w:type="dxa" w:w="1800"/>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6"/>
              </w:rPr>
              <w:t>Reported theme</w:t>
            </w:r>
          </w:p>
        </w:tc>
        <w:tc>
          <w:tcPr>
            <w:tcW w:type="dxa" w:w="8640"/>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6"/>
              </w:rPr>
              <w:t>Controlled treatment in the assessment and workbook</w:t>
            </w:r>
          </w:p>
        </w:tc>
      </w:tr>
      <w:tr>
        <w:tc>
          <w:tcPr>
            <w:tcW w:type="dxa" w:w="180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Duplicate closure</w:t>
            </w:r>
          </w:p>
        </w:tc>
        <w:tc>
          <w:tcPr>
            <w:tcW w:type="dxa" w:w="864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Exclude a closure only where evidence confirms it duplicates the same underlying event. Retain the valid event and both references in the audit trail; do not delete the source record or exclude a merely similar record.</w:t>
            </w:r>
          </w:p>
        </w:tc>
      </w:tr>
      <w:tr>
        <w:tc>
          <w:tcPr>
            <w:tcW w:type="dxa" w:w="1800"/>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Severity label</w:t>
            </w:r>
          </w:p>
        </w:tc>
        <w:tc>
          <w:tcPr>
            <w:tcW w:type="dxa" w:w="8640"/>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6"/>
              </w:rPr>
              <w:t>Keep the original label visible. Record the basis and authorisation for any correction. If evidence is ambiguous, use Pending review / Visible data-quality limitation rather than force a severity category.</w:t>
            </w:r>
          </w:p>
        </w:tc>
      </w:tr>
    </w:tbl>
    <w:p>
      <w:pPr>
        <w:spacing w:after="0"/>
      </w:pPr>
    </w:p>
    <w:p>
      <w:r>
        <w:br w:type="page"/>
      </w:r>
    </w:p>
    <w:p>
      <w:pPr>
        <w:spacing w:before="120" w:after="40"/>
      </w:pPr>
      <w:r>
        <w:rPr>
          <w:rFonts w:ascii="Arial" w:hAnsi="Arial"/>
          <w:b/>
          <w:color w:val="1F4E78"/>
          <w:sz w:val="24"/>
        </w:rPr>
        <w:t>Visible limitations, priority and confidential privacy route</w:t>
      </w:r>
    </w:p>
    <w:p>
      <w:pPr>
        <w:spacing w:after="50" w:line="250" w:lineRule="auto"/>
      </w:pPr>
      <w:r>
        <w:rPr>
          <w:rFonts w:ascii="Arial" w:hAnsi="Arial"/>
          <w:sz w:val="18"/>
        </w:rPr>
        <w:t>The following remain visible data-quality limitations. They are not evidence that a case was compliant or noncompliant, and they cannot be buried in the aggregate result. Priority reflects consequence and urgency for Friday, not an implied count or final finding.</w:t>
      </w:r>
    </w:p>
    <w:tbl>
      <w:tblPr>
        <w:tblW w:type="auto" w:w="0"/>
        <w:jc w:val="center"/>
        <w:tblLayout w:type="fixed"/>
        <w:tblLook w:firstColumn="1" w:firstRow="1" w:lastColumn="0" w:lastRow="0" w:noHBand="0" w:noVBand="1" w:val="04A0"/>
      </w:tblPr>
      <w:tblGrid>
        <w:gridCol w:w="2602"/>
        <w:gridCol w:w="2602"/>
        <w:gridCol w:w="2602"/>
        <w:gridCol w:w="2602"/>
      </w:tblGrid>
      <w:tr>
        <w:trPr>
          <w:tblHeader w:val="true"/>
        </w:trPr>
        <w:tc>
          <w:tcPr>
            <w:tcW w:type="dxa" w:w="720"/>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5"/>
              </w:rPr>
              <w:t>Priority</w:t>
            </w:r>
          </w:p>
        </w:tc>
        <w:tc>
          <w:tcPr>
            <w:tcW w:type="dxa" w:w="2376"/>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5"/>
              </w:rPr>
              <w:t>Unresolved issue</w:t>
            </w:r>
          </w:p>
        </w:tc>
        <w:tc>
          <w:tcPr>
            <w:tcW w:type="dxa" w:w="4824"/>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5"/>
              </w:rPr>
              <w:t>Owner / evidence still needed</w:t>
            </w:r>
          </w:p>
        </w:tc>
        <w:tc>
          <w:tcPr>
            <w:tcW w:type="dxa" w:w="2520"/>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5"/>
              </w:rPr>
              <w:t>Friday-compatible review point</w:t>
            </w:r>
          </w:p>
        </w:tc>
      </w:tr>
      <w:tr>
        <w:tc>
          <w:tcPr>
            <w:tcW w:type="dxa" w:w="72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P1</w:t>
            </w:r>
          </w:p>
        </w:tc>
        <w:tc>
          <w:tcPr>
            <w:tcW w:type="dxa" w:w="2376"/>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Potential privacy incident (separate concern; no breach conclusion)</w:t>
            </w:r>
          </w:p>
        </w:tc>
        <w:tc>
          <w:tcPr>
            <w:tcW w:type="dxa" w:w="4824"/>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Information Governance / incident-response lead: confidential fact and risk assessment using minimum necessary source reference, timing, data category, recipient/context and containment information.</w:t>
            </w:r>
          </w:p>
        </w:tc>
        <w:tc>
          <w:tcPr>
            <w:tcW w:type="dxa" w:w="252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Immediate referral; confirm escalation status before the Friday submission gate.</w:t>
            </w:r>
          </w:p>
        </w:tc>
      </w:tr>
      <w:tr>
        <w:tc>
          <w:tcPr>
            <w:tcW w:type="dxa" w:w="720"/>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P2</w:t>
            </w:r>
          </w:p>
        </w:tc>
        <w:tc>
          <w:tcPr>
            <w:tcW w:type="dxa" w:w="2376"/>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Duplicated closure theme</w:t>
            </w:r>
          </w:p>
        </w:tc>
        <w:tc>
          <w:tcPr>
            <w:tcW w:type="dxa" w:w="4824"/>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Reconciliation reviewer: validated export and evidence linking closures to the same underlying event; retained-event audit trail.</w:t>
            </w:r>
          </w:p>
        </w:tc>
        <w:tc>
          <w:tcPr>
            <w:tcW w:type="dxa" w:w="2520"/>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Before Friday pre-submission review.</w:t>
            </w:r>
          </w:p>
        </w:tc>
      </w:tr>
      <w:tr>
        <w:tc>
          <w:tcPr>
            <w:tcW w:type="dxa" w:w="72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P2</w:t>
            </w:r>
          </w:p>
        </w:tc>
        <w:tc>
          <w:tcPr>
            <w:tcW w:type="dxa" w:w="2376"/>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Inconsistent severity-label theme</w:t>
            </w:r>
          </w:p>
        </w:tc>
        <w:tc>
          <w:tcPr>
            <w:tcW w:type="dxa" w:w="4824"/>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Clinical/compliance reviewer: original label, applicable classification evidence and authorised decision.</w:t>
            </w:r>
          </w:p>
        </w:tc>
        <w:tc>
          <w:tcPr>
            <w:tcW w:type="dxa" w:w="252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Before Friday pre-submission review.</w:t>
            </w:r>
          </w:p>
        </w:tc>
      </w:tr>
    </w:tbl>
    <w:p>
      <w:pPr>
        <w:spacing w:after="0"/>
      </w:pPr>
    </w:p>
    <w:p>
      <w:pPr>
        <w:spacing w:before="120" w:after="40"/>
      </w:pPr>
      <w:r>
        <w:rPr>
          <w:rFonts w:ascii="Arial" w:hAnsi="Arial"/>
          <w:b/>
          <w:color w:val="1F4E78"/>
          <w:sz w:val="24"/>
        </w:rPr>
        <w:t>Potential privacy incident: separate escalation, not a rate adjustment</w:t>
      </w:r>
    </w:p>
    <w:p>
      <w:pPr>
        <w:spacing w:after="50" w:line="250" w:lineRule="auto"/>
      </w:pPr>
      <w:r>
        <w:rPr>
          <w:rFonts w:ascii="Arial" w:hAnsi="Arial"/>
          <w:sz w:val="18"/>
        </w:rPr>
        <w:t>The reported concern is potential only. This package does not assert that a personal data breach occurred, that harm occurred or that any notification has happened. Refer it promptly and confidentially through the Information Governance / incident-response route. The reviewer needs only the minimum necessary information to assess the event: secure source reference, access or sharing timeline, relevant data category, recipient or context, and containment already taken. Do not circulate case details in this assessment, the workbook or ordinary email.</w:t>
      </w:r>
    </w:p>
    <w:p>
      <w:pPr>
        <w:spacing w:after="50" w:line="250" w:lineRule="auto"/>
      </w:pPr>
      <w:r>
        <w:rPr>
          <w:rFonts w:ascii="Arial" w:hAnsi="Arial"/>
          <w:sz w:val="18"/>
        </w:rPr>
        <w:t>England and Wales context as at 31 January 2025: healthcare information is confidential and will commonly be special-category personal data. UK GDPR and the Data Protection Act 2018 require accountable, risk-based handling. The responsible privacy function must assess the facts and decide whether any notification duties apply. Where a personal data breach is likely to result in risk to people’s rights and freedoms, the controller must consider ICO notification without undue delay and, where feasible, within 72 hours of awareness; communication to affected people is a separate high-risk decision. This is a review route, not a finding of legal liability.</w:t>
      </w:r>
    </w:p>
    <w:p>
      <w:pPr>
        <w:spacing w:before="120" w:after="40"/>
      </w:pPr>
      <w:r>
        <w:rPr>
          <w:rFonts w:ascii="Arial" w:hAnsi="Arial"/>
          <w:b/>
          <w:color w:val="1F4E78"/>
          <w:sz w:val="24"/>
        </w:rPr>
        <w:t>Authorised change record and source-record boundary</w:t>
      </w:r>
    </w:p>
    <w:tbl>
      <w:tblPr>
        <w:tblW w:type="auto" w:w="0"/>
        <w:jc w:val="center"/>
        <w:tblLayout w:type="fixed"/>
        <w:tblLook w:firstColumn="1" w:firstRow="1" w:lastColumn="0" w:lastRow="0" w:noHBand="0" w:noVBand="1" w:val="04A0"/>
      </w:tblPr>
      <w:tblGrid>
        <w:gridCol w:w="2602"/>
        <w:gridCol w:w="2602"/>
        <w:gridCol w:w="2602"/>
        <w:gridCol w:w="2602"/>
      </w:tblGrid>
      <w:tr>
        <w:trPr>
          <w:tblHeader w:val="true"/>
        </w:trPr>
        <w:tc>
          <w:tcPr>
            <w:tcW w:type="dxa" w:w="1080"/>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5"/>
              </w:rPr>
              <w:t>Control</w:t>
            </w:r>
          </w:p>
        </w:tc>
        <w:tc>
          <w:tcPr>
            <w:tcW w:type="dxa" w:w="3168"/>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5"/>
              </w:rPr>
              <w:t>Prior state / revised state</w:t>
            </w:r>
          </w:p>
        </w:tc>
        <w:tc>
          <w:tcPr>
            <w:tcW w:type="dxa" w:w="3384"/>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5"/>
              </w:rPr>
              <w:t>Reason and evidence basis</w:t>
            </w:r>
          </w:p>
        </w:tc>
        <w:tc>
          <w:tcPr>
            <w:tcW w:type="dxa" w:w="2808"/>
            <w:shd w:fill="1F4E7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color w:val="FFFFFF"/>
                <w:sz w:val="15"/>
              </w:rPr>
              <w:t>Authorisation / review point</w:t>
            </w:r>
          </w:p>
        </w:tc>
      </w:tr>
      <w:tr>
        <w:tc>
          <w:tcPr>
            <w:tcW w:type="dxa" w:w="108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PKG-01</w:t>
              <w:br/>
              <w:t>Rate display</w:t>
            </w:r>
          </w:p>
        </w:tc>
        <w:tc>
          <w:tcPr>
            <w:tcW w:type="dxa" w:w="3168"/>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Prior: disputed rate reported; exact figure unavailable.</w:t>
              <w:br/>
              <w:t>Revised: PENDING - no record-level evidence supplied; no final rate published.</w:t>
            </w:r>
          </w:p>
        </w:tc>
        <w:tc>
          <w:tcPr>
            <w:tcW w:type="dxa" w:w="3384"/>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No export or record evidence supplied. Basis: reported narrative and workbook formula logic.</w:t>
            </w:r>
          </w:p>
        </w:tc>
        <w:tc>
          <w:tcPr>
            <w:tcW w:type="dxa" w:w="2808"/>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Prepared by Farida Ferreira, RN. Gildenhall Chambers review pending at Friday submission gate.</w:t>
            </w:r>
          </w:p>
        </w:tc>
      </w:tr>
      <w:tr>
        <w:tc>
          <w:tcPr>
            <w:tcW w:type="dxa" w:w="1080"/>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PKG-02</w:t>
              <w:br/>
              <w:t>Source records</w:t>
            </w:r>
          </w:p>
        </w:tc>
        <w:tc>
          <w:tcPr>
            <w:tcW w:type="dxa" w:w="316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Prior: source state unavailable; no live review.</w:t>
              <w:br/>
              <w:t>Revised: no source record altered.</w:t>
            </w:r>
          </w:p>
        </w:tc>
        <w:tc>
          <w:tcPr>
            <w:tcW w:type="dxa" w:w="3384"/>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Scope permits assessment/reconciliation correction only. Basis: no export or system access.</w:t>
            </w:r>
          </w:p>
        </w:tc>
        <w:tc>
          <w:tcPr>
            <w:tcW w:type="dxa" w:w="2808"/>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No source-system change authorised. Source owner retains authority; retain audit trail.</w:t>
            </w:r>
          </w:p>
        </w:tc>
      </w:tr>
      <w:tr>
        <w:tc>
          <w:tcPr>
            <w:tcW w:type="dxa" w:w="1080"/>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PKG-03</w:t>
              <w:br/>
              <w:t>Duplicate / severity</w:t>
            </w:r>
          </w:p>
        </w:tc>
        <w:tc>
          <w:tcPr>
            <w:tcW w:type="dxa" w:w="3168"/>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Prior and revised record values: unavailable.</w:t>
              <w:br/>
              <w:t>Proposed: Pending review until documented evidence and authorised decision.</w:t>
            </w:r>
          </w:p>
        </w:tc>
        <w:tc>
          <w:tcPr>
            <w:tcW w:type="dxa" w:w="3384"/>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Prevent unsupported deletion, relabelling or backfilling. Basis: evidence and reviewer decision pending.</w:t>
            </w:r>
          </w:p>
        </w:tc>
        <w:tc>
          <w:tcPr>
            <w:tcW w:type="dxa" w:w="2808"/>
            <w:shd w:fill="F8FBFD"/>
            <w:vAlign w:val="center"/>
            <w:tcMar>
              <w:top w:w="70" w:type="dxa"/>
              <w:start w:w="90" w:type="dxa"/>
              <w:bottom w:w="70" w:type="dxa"/>
              <w:end w:w="90" w:type="dxa"/>
            </w:tcMar>
            <w:tcBorders>
              <w:top w:val="single" w:sz="4" w:color="D9E2F3"/>
              <w:left w:val="single" w:sz="4" w:color="D9E2F3"/>
              <w:bottom w:val="single" w:sz="4" w:color="D9E2F3"/>
              <w:right w:val="single" w:sz="4" w:color="D9E2F3"/>
            </w:tcBorders>
          </w:tcPr>
          <w:p>
            <w:pPr>
              <w:spacing w:after="0" w:before="0" w:line="240" w:lineRule="auto"/>
            </w:pPr>
            <w:r/>
            <w:r>
              <w:rPr>
                <w:rFonts w:ascii="Arial" w:hAnsi="Arial"/>
                <w:b w:val="0"/>
                <w:sz w:val="15"/>
              </w:rPr>
              <w:t>Reconciliation / clinical review pending before Friday pre-submission review.</w:t>
            </w:r>
          </w:p>
        </w:tc>
      </w:tr>
    </w:tbl>
    <w:p>
      <w:pPr>
        <w:spacing w:after="0"/>
      </w:pPr>
    </w:p>
    <w:p>
      <w:r>
        <w:br w:type="page"/>
      </w:r>
    </w:p>
    <w:p>
      <w:pPr>
        <w:spacing w:before="120" w:after="40"/>
      </w:pPr>
      <w:r>
        <w:rPr>
          <w:rFonts w:ascii="Arial" w:hAnsi="Arial"/>
          <w:b/>
          <w:color w:val="1F4E78"/>
          <w:sz w:val="24"/>
        </w:rPr>
        <w:t>Friday submission position</w:t>
      </w:r>
    </w:p>
    <w:tbl>
      <w:tblPr>
        <w:tblW w:type="auto" w:w="0"/>
        <w:jc w:val="center"/>
        <w:tblLayout w:type="fixed"/>
        <w:tblLook w:firstColumn="1" w:firstRow="1" w:lastColumn="0" w:lastRow="0" w:noHBand="0" w:noVBand="1" w:val="04A0"/>
      </w:tblPr>
      <w:tblGrid>
        <w:gridCol w:w="2088"/>
        <w:gridCol w:w="8280"/>
      </w:tblGrid>
      <w:tr>
        <w:tc>
          <w:tcPr>
            <w:tcW w:type="dxa" w:w="5204"/>
            <w:shd w:fill="DDEBF7"/>
            <w:tcBorders>
              <w:top w:val="single" w:sz="6" w:color="D9D9D9"/>
              <w:left w:val="single" w:sz="6" w:color="D9D9D9"/>
              <w:bottom w:val="single" w:sz="6" w:color="D9D9D9"/>
              <w:right w:val="single" w:sz="6" w:color="D9D9D9"/>
            </w:tcBorders>
            <w:vAlign w:val="center"/>
            <w:tcMar>
              <w:top w:w="70" w:type="dxa"/>
              <w:start w:w="90" w:type="dxa"/>
              <w:bottom w:w="70" w:type="dxa"/>
              <w:end w:w="90" w:type="dxa"/>
            </w:tcMar>
          </w:tcPr>
          <w:p>
            <w:pPr>
              <w:spacing w:after="0" w:before="0" w:line="240" w:lineRule="auto"/>
            </w:pPr>
            <w:r/>
            <w:r>
              <w:rPr>
                <w:rFonts w:ascii="Arial" w:hAnsi="Arial"/>
                <w:b/>
                <w:color w:val="1F4E78"/>
                <w:sz w:val="17"/>
              </w:rPr>
              <w:t>Readiness</w:t>
            </w:r>
          </w:p>
        </w:tc>
        <w:tc>
          <w:tcPr>
            <w:tcW w:type="dxa" w:w="5204"/>
            <w:shd w:fill="DDEBF7"/>
            <w:tcBorders>
              <w:top w:val="single" w:sz="6" w:color="D9D9D9"/>
              <w:left w:val="single" w:sz="6" w:color="D9D9D9"/>
              <w:bottom w:val="single" w:sz="6" w:color="D9D9D9"/>
              <w:right w:val="single" w:sz="6" w:color="D9D9D9"/>
            </w:tcBorders>
            <w:vAlign w:val="center"/>
            <w:tcMar>
              <w:top w:w="70" w:type="dxa"/>
              <w:start w:w="90" w:type="dxa"/>
              <w:bottom w:w="70" w:type="dxa"/>
              <w:end w:w="90" w:type="dxa"/>
            </w:tcMar>
          </w:tcPr>
          <w:p>
            <w:pPr>
              <w:spacing w:after="0" w:before="0" w:line="240" w:lineRule="auto"/>
            </w:pPr>
            <w:r/>
            <w:r>
              <w:rPr>
                <w:rFonts w:ascii="Arial" w:hAnsi="Arial"/>
                <w:b w:val="0"/>
                <w:sz w:val="17"/>
              </w:rPr>
              <w:t>Qualified submission ready: submit the correction method, visible limitations, controlled change record and confidential escalation status. Do not submit a final rate, total, numerator, denominator, resolved severity decision or breach/notification conclusion until evidence is reconciled and authorised.</w:t>
            </w:r>
          </w:p>
        </w:tc>
      </w:tr>
    </w:tbl>
    <w:p>
      <w:pPr>
        <w:spacing w:after="0"/>
      </w:pPr>
    </w:p>
    <w:p>
      <w:pPr>
        <w:spacing w:before="80" w:after="40"/>
      </w:pPr>
      <w:r>
        <w:rPr>
          <w:rFonts w:ascii="Arial" w:hAnsi="Arial"/>
          <w:b/>
          <w:color w:val="595959"/>
          <w:sz w:val="20"/>
        </w:rPr>
        <w:t>What can be sent now / what remains qualified</w:t>
      </w:r>
    </w:p>
    <w:p>
      <w:pPr>
        <w:spacing w:after="30" w:line="240" w:lineRule="auto"/>
        <w:ind w:left="230" w:hanging="158"/>
      </w:pPr>
      <w:r>
        <w:rPr>
          <w:rFonts w:ascii="Arial" w:hAnsi="Arial"/>
          <w:sz w:val="18"/>
        </w:rPr>
        <w:t xml:space="preserve">• </w:t>
      </w:r>
      <w:r>
        <w:rPr>
          <w:rFonts w:ascii="Arial" w:hAnsi="Arial"/>
          <w:sz w:val="18"/>
        </w:rPr>
        <w:t>Can be sent now: the pending-status assessment, rate definition, duplicate and severity reconciliation rules, unresolved queue, and statement that the privacy concern has a separate confidential route.</w:t>
      </w:r>
    </w:p>
    <w:p>
      <w:pPr>
        <w:spacing w:after="30" w:line="240" w:lineRule="auto"/>
        <w:ind w:left="230" w:hanging="158"/>
      </w:pPr>
      <w:r>
        <w:rPr>
          <w:rFonts w:ascii="Arial" w:hAnsi="Arial"/>
          <w:sz w:val="18"/>
        </w:rPr>
        <w:t xml:space="preserve">• </w:t>
      </w:r>
      <w:r>
        <w:rPr>
          <w:rFonts w:ascii="Arial" w:hAnsi="Arial"/>
          <w:sz w:val="18"/>
        </w:rPr>
        <w:t>Must remain qualified or escalated: every record-level count, metric result, duplicate determination, severity correction, privacy-breach finding, harm assessment and notification decision.</w:t>
      </w:r>
    </w:p>
    <w:p>
      <w:pPr>
        <w:spacing w:before="120" w:after="40"/>
      </w:pPr>
      <w:r>
        <w:rPr>
          <w:rFonts w:ascii="Arial" w:hAnsi="Arial"/>
          <w:b/>
          <w:color w:val="1F4E78"/>
          <w:sz w:val="24"/>
        </w:rPr>
        <w:t>Friday priorities</w:t>
      </w:r>
    </w:p>
    <w:p>
      <w:pPr>
        <w:spacing w:after="30" w:line="240" w:lineRule="auto"/>
        <w:ind w:left="230" w:hanging="158"/>
      </w:pPr>
      <w:r>
        <w:rPr>
          <w:rFonts w:ascii="Arial" w:hAnsi="Arial"/>
          <w:sz w:val="18"/>
        </w:rPr>
        <w:t xml:space="preserve">• </w:t>
      </w:r>
      <w:r>
        <w:rPr>
          <w:rFonts w:ascii="Arial" w:hAnsi="Arial"/>
          <w:sz w:val="18"/>
        </w:rPr>
        <w:t>P1: Information Governance / incident-response lead to confirm confidential referral and risk-assessment ownership before the submission gate.</w:t>
      </w:r>
    </w:p>
    <w:p>
      <w:pPr>
        <w:spacing w:after="30" w:line="240" w:lineRule="auto"/>
        <w:ind w:left="230" w:hanging="158"/>
      </w:pPr>
      <w:r>
        <w:rPr>
          <w:rFonts w:ascii="Arial" w:hAnsi="Arial"/>
          <w:sz w:val="18"/>
        </w:rPr>
        <w:t xml:space="preserve">• </w:t>
      </w:r>
      <w:r>
        <w:rPr>
          <w:rFonts w:ascii="Arial" w:hAnsi="Arial"/>
          <w:sz w:val="18"/>
        </w:rPr>
        <w:t>P2: Reconciliation reviewer to load a validated export into the controlled workbook, preserve each source reference, and confirm any duplicate only against evidence of the same underlying event.</w:t>
      </w:r>
    </w:p>
    <w:p>
      <w:pPr>
        <w:spacing w:after="30" w:line="240" w:lineRule="auto"/>
        <w:ind w:left="230" w:hanging="158"/>
      </w:pPr>
      <w:r>
        <w:rPr>
          <w:rFonts w:ascii="Arial" w:hAnsi="Arial"/>
          <w:sz w:val="18"/>
        </w:rPr>
        <w:t xml:space="preserve">• </w:t>
      </w:r>
      <w:r>
        <w:rPr>
          <w:rFonts w:ascii="Arial" w:hAnsi="Arial"/>
          <w:sz w:val="18"/>
        </w:rPr>
        <w:t>P2: Clinical/compliance reviewer to retain original severity labels, capture supporting basis and authorisation, and leave ambiguous labels visible for review.</w:t>
      </w:r>
    </w:p>
    <w:p>
      <w:pPr>
        <w:spacing w:after="30" w:line="240" w:lineRule="auto"/>
        <w:ind w:left="230" w:hanging="158"/>
      </w:pPr>
      <w:r>
        <w:rPr>
          <w:rFonts w:ascii="Arial" w:hAnsi="Arial"/>
          <w:sz w:val="18"/>
        </w:rPr>
        <w:t xml:space="preserve">• </w:t>
      </w:r>
      <w:r>
        <w:rPr>
          <w:rFonts w:ascii="Arial" w:hAnsi="Arial"/>
          <w:sz w:val="18"/>
        </w:rPr>
        <w:t>Gildenhall Chambers to use the qualified position unless the evidence, calculation and authorisations are complete before the Friday gate.</w:t>
      </w:r>
    </w:p>
    <w:p>
      <w:pPr>
        <w:spacing w:before="80" w:after="40"/>
      </w:pPr>
      <w:r>
        <w:rPr>
          <w:rFonts w:ascii="Arial" w:hAnsi="Arial"/>
          <w:b/>
          <w:color w:val="595959"/>
          <w:sz w:val="20"/>
        </w:rPr>
        <w:t>Rate-use safeguard</w:t>
      </w:r>
    </w:p>
    <w:tbl>
      <w:tblPr>
        <w:tblW w:type="auto" w:w="0"/>
        <w:jc w:val="center"/>
        <w:tblLayout w:type="fixed"/>
        <w:tblLook w:firstColumn="1" w:firstRow="1" w:lastColumn="0" w:lastRow="0" w:noHBand="0" w:noVBand="1" w:val="04A0"/>
      </w:tblPr>
      <w:tblGrid>
        <w:gridCol w:w="2088"/>
        <w:gridCol w:w="8280"/>
      </w:tblGrid>
      <w:tr>
        <w:tc>
          <w:tcPr>
            <w:tcW w:type="dxa" w:w="5204"/>
            <w:shd w:fill="FCE4D6"/>
            <w:tcBorders>
              <w:top w:val="single" w:sz="6" w:color="D9D9D9"/>
              <w:left w:val="single" w:sz="6" w:color="D9D9D9"/>
              <w:bottom w:val="single" w:sz="6" w:color="D9D9D9"/>
              <w:right w:val="single" w:sz="6" w:color="D9D9D9"/>
            </w:tcBorders>
            <w:vAlign w:val="center"/>
            <w:tcMar>
              <w:top w:w="70" w:type="dxa"/>
              <w:start w:w="90" w:type="dxa"/>
              <w:bottom w:w="70" w:type="dxa"/>
              <w:end w:w="90" w:type="dxa"/>
            </w:tcMar>
          </w:tcPr>
          <w:p>
            <w:pPr>
              <w:spacing w:after="0" w:before="0" w:line="240" w:lineRule="auto"/>
            </w:pPr>
            <w:r/>
            <w:r>
              <w:rPr>
                <w:rFonts w:ascii="Arial" w:hAnsi="Arial"/>
                <w:b/>
                <w:color w:val="C00000"/>
                <w:sz w:val="17"/>
              </w:rPr>
              <w:t>Do not use</w:t>
            </w:r>
          </w:p>
        </w:tc>
        <w:tc>
          <w:tcPr>
            <w:tcW w:type="dxa" w:w="5204"/>
            <w:shd w:fill="FCE4D6"/>
            <w:tcBorders>
              <w:top w:val="single" w:sz="6" w:color="D9D9D9"/>
              <w:left w:val="single" w:sz="6" w:color="D9D9D9"/>
              <w:bottom w:val="single" w:sz="6" w:color="D9D9D9"/>
              <w:right w:val="single" w:sz="6" w:color="D9D9D9"/>
            </w:tcBorders>
            <w:vAlign w:val="center"/>
            <w:tcMar>
              <w:top w:w="70" w:type="dxa"/>
              <w:start w:w="90" w:type="dxa"/>
              <w:bottom w:w="70" w:type="dxa"/>
              <w:end w:w="90" w:type="dxa"/>
            </w:tcMar>
          </w:tcPr>
          <w:p>
            <w:pPr>
              <w:spacing w:after="0" w:before="0" w:line="240" w:lineRule="auto"/>
            </w:pPr>
            <w:r/>
            <w:r>
              <w:rPr>
                <w:rFonts w:ascii="Arial" w:hAnsi="Arial"/>
                <w:b w:val="0"/>
                <w:sz w:val="17"/>
              </w:rPr>
              <w:t>The disputed or provisional rate must not be copied into performance scorecards, used to rank staff or units, or used for disciplinary decisions until the evidence is reconciled and an authorised calculation is available.</w:t>
            </w:r>
          </w:p>
        </w:tc>
      </w:tr>
    </w:tbl>
    <w:p>
      <w:pPr>
        <w:spacing w:after="0"/>
      </w:pPr>
    </w:p>
    <w:p>
      <w:pPr>
        <w:spacing w:before="80" w:after="40"/>
      </w:pPr>
      <w:r>
        <w:rPr>
          <w:rFonts w:ascii="Arial" w:hAnsi="Arial"/>
          <w:b/>
          <w:color w:val="595959"/>
          <w:sz w:val="20"/>
        </w:rPr>
        <w:t>Controlled status meanings</w:t>
      </w:r>
    </w:p>
    <w:p>
      <w:pPr>
        <w:spacing w:after="50" w:line="250" w:lineRule="auto"/>
      </w:pPr>
      <w:r>
        <w:rPr>
          <w:rFonts w:ascii="Arial" w:hAnsi="Arial"/>
          <w:sz w:val="18"/>
        </w:rPr>
        <w:t>Included - assessable means a unique eligible record with verified evidence and a confirmed metric outcome. Confirmed duplicate exclusion means only a proven duplicate closure is excluded while the retained event stays auditable. Visible data-quality limitation and Pending review remain outside the rate. Privacy escalation is confidential and separate from the rate calculation.</w:t>
      </w:r>
    </w:p>
    <w:p>
      <w:pPr>
        <w:spacing w:after="50" w:line="250" w:lineRule="auto"/>
      </w:pPr>
      <w:r>
        <w:rPr>
          <w:rFonts w:ascii="Arial" w:hAnsi="Arial"/>
          <w:sz w:val="18"/>
        </w:rPr>
        <w:t>All authorised changes in this package are to the assessment or reconciliation record. Staff must not delete, overwrite, relabel, merge, backfill or otherwise alter source case records to improve the reported rate. Any permitted source-system action remains with the authorised source owner and must retain its own audit trail.</w:t>
      </w:r>
    </w:p>
    <w:p>
      <w:pPr>
        <w:spacing w:after="50" w:line="250" w:lineRule="auto"/>
      </w:pPr>
      <w:r>
        <w:rPr>
          <w:rFonts w:ascii="Arial" w:hAnsi="Arial"/>
          <w:sz w:val="18"/>
        </w:rPr>
        <w:t>Controlled use: version 0.1, prepared by Farida Ferreira, RN; evidence status PENDING - no record-level evidence supplied; next review Friday submission gate.</w:t>
      </w:r>
    </w:p>
    <w:sectPr w:rsidR="00FC693F" w:rsidRPr="0006063C" w:rsidSect="00034616">
      <w:headerReference w:type="default" r:id="rId9"/>
      <w:footerReference w:type="default" r:id="rId10"/>
      <w:pgSz w:w="11906" w:h="16838"/>
      <w:pgMar w:top="691" w:right="749" w:bottom="648" w:left="749"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595959"/>
        <w:sz w:val="14"/>
      </w:rPr>
      <w:t>Minimum necessary information only  |  Assessment artefact; not a source-system amendment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595959"/>
        <w:sz w:val="14"/>
      </w:rPr>
      <w:t>OVERBROOK WORKS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Compliance Assessment - Overbrook Works</dc:title>
  <dc:subject>Qualified compliance correction package</dc:subject>
  <dc:creator>Farida Ferreira, RN</dc:creator>
  <cp:keywords>controlled assessment, reconciliation, pending evidence</cp:keywords>
  <dc:description>generated by python-docx</dc:description>
  <cp:lastModifiedBy/>
  <cp:revision>1</cp:revision>
  <dcterms:created xsi:type="dcterms:W3CDTF">2013-12-23T23:15:00Z</dcterms:created>
  <dcterms:modified xsi:type="dcterms:W3CDTF">2013-12-23T23:15:00Z</dcterms:modified>
  <cp:category/>
</cp:coreProperties>
</file>