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CAD / Records Consolidation — Stakeholder Notes</w:t>
      </w:r>
    </w:p>
    <w:p>
      <w:r>
        <w:rPr>
          <w:b/>
        </w:rPr>
        <w:t xml:space="preserve">Interview digest  |  </w:t>
      </w:r>
      <w:r>
        <w:t>Prepared for vendor-discovery boundary setting; compiled 20 August 2026</w:t>
      </w:r>
    </w:p>
    <w:p>
      <w:pPr>
        <w:pStyle w:val="Heading1"/>
        <w:spacing w:after="50"/>
      </w:pPr>
      <w:r>
        <w:t>Decision context</w:t>
      </w:r>
    </w:p>
    <w:p>
      <w:pPr>
        <w:spacing w:after="50"/>
      </w:pPr>
      <w:r>
        <w:t>Cattermole Valley Regional Dispatch Authority will consolidate Gildenhall Logistics, Anvilcross Trading Company, and the third member agency onto one CAD and records platform next fiscal year. Director Hallam Oyekunle needs a target boundary before vendor discovery closes in six weeks. These notes record operational and technical observations; they do not select a configuration.</w:t>
      </w:r>
    </w:p>
    <w:p>
      <w:pPr>
        <w:pStyle w:val="Heading1"/>
        <w:spacing w:after="50"/>
      </w:pPr>
      <w:r>
        <w:t>Shared constraints heard in every interview</w:t>
      </w:r>
    </w:p>
    <w:p>
      <w:pPr>
        <w:pStyle w:val="ListBullet"/>
        <w:spacing w:after="24"/>
        <w:ind w:left="259" w:hanging="173"/>
      </w:pPr>
      <w:r>
        <w:t>Gildenhall Logistics and Anvilcross Trading Company each operate an on-premises records server. Neither server may be retired during the current operating cycle.</w:t>
      </w:r>
    </w:p>
    <w:p>
      <w:pPr>
        <w:pStyle w:val="ListBullet"/>
        <w:spacing w:after="24"/>
        <w:ind w:left="259" w:hanging="173"/>
      </w:pPr>
      <w:r>
        <w:t>Dispatch personnel reported that routing call entry through the proposed central location added noticeable delay. The authority cannot accept extra call-entry latency on dispatch-critical work.</w:t>
      </w:r>
    </w:p>
    <w:p>
      <w:pPr>
        <w:pStyle w:val="ListBullet"/>
        <w:spacing w:after="24"/>
        <w:ind w:left="259" w:hanging="173"/>
      </w:pPr>
      <w:r>
        <w:t>CJIS-protected records, their replicas and backups, and administrative access must remain within the approved CJIS hosting and access boundary. The notes do not certify any proposed arrangement.</w:t>
      </w:r>
    </w:p>
    <w:p>
      <w:pPr>
        <w:pStyle w:val="ListBullet"/>
        <w:spacing w:after="24"/>
        <w:ind w:left="259" w:hanging="173"/>
      </w:pPr>
      <w:r>
        <w:t>Historical records from all three agencies must remain usable after cutover. The NIBRS Group A classification/mapping must remain available and auditable through conversion.</w:t>
      </w:r>
    </w:p>
    <w:p>
      <w:pPr>
        <w:pStyle w:val="ListBullet"/>
        <w:spacing w:after="24"/>
        <w:ind w:left="259" w:hanging="173"/>
      </w:pPr>
      <w:r>
        <w:t>The migration team is small. In the six-week discovery window it cannot run a full, repeatedly rehearsed textbook migration program.</w:t>
      </w:r>
    </w:p>
    <w:p>
      <w:pPr>
        <w:pStyle w:val="Heading1"/>
        <w:spacing w:after="50"/>
      </w:pPr>
      <w:r>
        <w:t>Buildable configurations discussed</w:t>
      </w:r>
    </w:p>
    <w:tbl>
      <w:tblPr>
        <w:tblStyle w:val="TableGrid"/>
        <w:tblW w:type="auto" w:w="0"/>
        <w:jc w:val="center"/>
        <w:tblLook w:firstColumn="1" w:firstRow="1" w:lastColumn="0" w:lastRow="0" w:noHBand="0" w:noVBand="1" w:val="04A0"/>
      </w:tblPr>
      <w:tblGrid>
        <w:gridCol w:w="3485"/>
        <w:gridCol w:w="3485"/>
        <w:gridCol w:w="3485"/>
      </w:tblGrid>
      <w:tr>
        <w:tc>
          <w:tcPr>
            <w:tcW w:type="dxa" w:w="1944"/>
            <w:vAlign w:val="center"/>
            <w:shd w:fill="D9EAF7"/>
          </w:tcPr>
          <w:p>
            <w:pPr>
              <w:spacing w:after="20"/>
            </w:pPr>
            <w:r/>
            <w:r>
              <w:rPr>
                <w:b/>
                <w:sz w:val="16"/>
              </w:rPr>
              <w:t>Configuration</w:t>
            </w:r>
          </w:p>
        </w:tc>
        <w:tc>
          <w:tcPr>
            <w:tcW w:type="dxa" w:w="4392"/>
            <w:vAlign w:val="center"/>
            <w:shd w:fill="D9EAF7"/>
          </w:tcPr>
          <w:p>
            <w:pPr>
              <w:spacing w:after="20"/>
            </w:pPr>
            <w:r/>
            <w:r>
              <w:rPr>
                <w:b/>
                <w:sz w:val="16"/>
              </w:rPr>
              <w:t>Build boundary</w:t>
            </w:r>
          </w:p>
        </w:tc>
        <w:tc>
          <w:tcPr>
            <w:tcW w:type="dxa" w:w="3312"/>
            <w:vAlign w:val="center"/>
            <w:shd w:fill="D9EAF7"/>
          </w:tcPr>
          <w:p>
            <w:pPr>
              <w:spacing w:after="20"/>
            </w:pPr>
            <w:r/>
            <w:r>
              <w:rPr>
                <w:b/>
                <w:sz w:val="16"/>
              </w:rPr>
              <w:t>Observed benefit / trade-off</w:t>
            </w:r>
          </w:p>
        </w:tc>
      </w:tr>
      <w:tr>
        <w:tc>
          <w:tcPr>
            <w:tcW w:type="dxa" w:w="1944"/>
            <w:vAlign w:val="center"/>
          </w:tcPr>
          <w:p>
            <w:pPr>
              <w:spacing w:after="20"/>
            </w:pPr>
            <w:r/>
            <w:r>
              <w:rPr>
                <w:b w:val="0"/>
                <w:sz w:val="16"/>
              </w:rPr>
              <w:t>A — Centralized Core</w:t>
            </w:r>
          </w:p>
        </w:tc>
        <w:tc>
          <w:tcPr>
            <w:tcW w:type="dxa" w:w="4392"/>
            <w:vAlign w:val="center"/>
          </w:tcPr>
          <w:p>
            <w:pPr>
              <w:spacing w:after="20"/>
            </w:pPr>
            <w:r/>
            <w:r>
              <w:rPr>
                <w:b w:val="0"/>
                <w:sz w:val="16"/>
              </w:rPr>
              <w:t>CAD operational services and records tier together in the approved central CJIS boundary; retained servers interface to the core during the operating cycle.</w:t>
            </w:r>
          </w:p>
        </w:tc>
        <w:tc>
          <w:tcPr>
            <w:tcW w:type="dxa" w:w="3312"/>
            <w:vAlign w:val="center"/>
          </w:tcPr>
          <w:p>
            <w:pPr>
              <w:spacing w:after="20"/>
            </w:pPr>
            <w:r/>
            <w:r>
              <w:rPr>
                <w:b w:val="0"/>
                <w:sz w:val="16"/>
              </w:rPr>
              <w:t>Simple single location for current data and controls. Dispatch call entry routed through the central location showed the extra delay dispatch rejected.</w:t>
            </w:r>
          </w:p>
        </w:tc>
      </w:tr>
      <w:tr>
        <w:tc>
          <w:tcPr>
            <w:tcW w:type="dxa" w:w="1944"/>
            <w:vAlign w:val="center"/>
          </w:tcPr>
          <w:p>
            <w:pPr>
              <w:spacing w:after="20"/>
            </w:pPr>
            <w:r/>
            <w:r>
              <w:rPr>
                <w:b w:val="0"/>
                <w:sz w:val="16"/>
              </w:rPr>
              <w:t>B — Split-Path Regional Core</w:t>
            </w:r>
          </w:p>
        </w:tc>
        <w:tc>
          <w:tcPr>
            <w:tcW w:type="dxa" w:w="4392"/>
            <w:vAlign w:val="center"/>
          </w:tcPr>
          <w:p>
            <w:pPr>
              <w:spacing w:after="20"/>
            </w:pPr>
            <w:r/>
            <w:r>
              <w:rPr>
                <w:b w:val="0"/>
                <w:sz w:val="16"/>
              </w:rPr>
              <w:t>Dispatch CAD operational services stay on the low-latency regional dispatch path. The records tier, replicas, backups, and administration remain in the approved CJIS boundary. A controlled interface crosses the boundary.</w:t>
            </w:r>
          </w:p>
        </w:tc>
        <w:tc>
          <w:tcPr>
            <w:tcW w:type="dxa" w:w="3312"/>
            <w:vAlign w:val="center"/>
          </w:tcPr>
          <w:p>
            <w:pPr>
              <w:spacing w:after="20"/>
            </w:pPr>
            <w:r/>
            <w:r>
              <w:rPr>
                <w:b w:val="0"/>
                <w:sz w:val="16"/>
              </w:rPr>
              <w:t>Preserves the dispatch path and the records-location boundary, but adds an interface and disciplined coexistence work.</w:t>
            </w:r>
          </w:p>
        </w:tc>
      </w:tr>
      <w:tr>
        <w:tc>
          <w:tcPr>
            <w:tcW w:type="dxa" w:w="1944"/>
            <w:vAlign w:val="center"/>
          </w:tcPr>
          <w:p>
            <w:pPr>
              <w:spacing w:after="20"/>
            </w:pPr>
            <w:r/>
            <w:r>
              <w:rPr>
                <w:b w:val="0"/>
                <w:sz w:val="16"/>
              </w:rPr>
              <w:t>C — Agency-Local Continuity</w:t>
            </w:r>
          </w:p>
        </w:tc>
        <w:tc>
          <w:tcPr>
            <w:tcW w:type="dxa" w:w="4392"/>
            <w:vAlign w:val="center"/>
          </w:tcPr>
          <w:p>
            <w:pPr>
              <w:spacing w:after="20"/>
            </w:pPr>
            <w:r/>
            <w:r>
              <w:rPr>
                <w:b w:val="0"/>
                <w:sz w:val="16"/>
              </w:rPr>
              <w:t>Each agency keeps an operational node and records remain near the agencies while the shared layer coordinates them.</w:t>
            </w:r>
          </w:p>
        </w:tc>
        <w:tc>
          <w:tcPr>
            <w:tcW w:type="dxa" w:w="3312"/>
            <w:vAlign w:val="center"/>
          </w:tcPr>
          <w:p>
            <w:pPr>
              <w:spacing w:after="20"/>
            </w:pPr>
            <w:r/>
            <w:r>
              <w:rPr>
                <w:b w:val="0"/>
                <w:sz w:val="16"/>
              </w:rPr>
              <w:t>Strong local continuity and no central call-entry detour. It leaves current records and historical conversion distributed, and placement/control work is harder to govern consistently.</w:t>
            </w:r>
          </w:p>
        </w:tc>
      </w:tr>
    </w:tbl>
    <w:p>
      <w:pPr>
        <w:spacing w:after="0"/>
      </w:pPr>
    </w:p>
    <w:p>
      <w:pPr>
        <w:pStyle w:val="Heading1"/>
        <w:spacing w:after="50"/>
      </w:pPr>
      <w:r>
        <w:t>Interview notes</w:t>
      </w:r>
    </w:p>
    <w:p>
      <w:pPr>
        <w:spacing w:after="60"/>
      </w:pPr>
      <w:r>
        <w:rPr>
          <w:b/>
        </w:rPr>
        <w:t xml:space="preserve">Sgt. Bronwyn Szymanski — Dispatch supervision: </w:t>
      </w:r>
      <w:r>
        <w:t>Call takers need the CAD operational path to remain direct. A records lookup may be controlled differently, but an active call cannot wait on a round trip caused by routing the call-entry workflow through an unsuitable central location. During interruption, dispatch needs a clear degraded procedure and a way to reconcile what was captured.</w:t>
      </w:r>
    </w:p>
    <w:p>
      <w:pPr>
        <w:spacing w:after="60"/>
      </w:pPr>
      <w:r>
        <w:rPr>
          <w:b/>
        </w:rPr>
        <w:t xml:space="preserve">Director Hallam Oyekunle — Decision authority: </w:t>
      </w:r>
      <w:r>
        <w:t>Discovery closes in six weeks. I need one target configuration, its boundary, the evidence that vendors must address, and named operational owners. We can reduce the amount of migration activity, but not the controls that protect call handling, records integrity, or CJIS obligations.</w:t>
      </w:r>
    </w:p>
    <w:p>
      <w:pPr>
        <w:spacing w:after="60"/>
      </w:pPr>
      <w:r>
        <w:rPr>
          <w:b/>
        </w:rPr>
        <w:t xml:space="preserve">Joaquin Skarsgard — Infrastructure: </w:t>
      </w:r>
      <w:r>
        <w:t>Both retained on-premises servers have to stay powered and supported through the current operating cycle. They can have a defined transitional role, but we should not create three competing current-record systems. Configuration A is buildable, but its centralized dispatch route is the same route operators objected to. Configuration B isolates that routing decision from records placement.</w:t>
      </w:r>
    </w:p>
    <w:p>
      <w:pPr>
        <w:spacing w:after="60"/>
      </w:pPr>
      <w:r>
        <w:rPr>
          <w:b/>
        </w:rPr>
        <w:t xml:space="preserve">Wilhelmina Vanterpool — Records manager: </w:t>
      </w:r>
      <w:r>
        <w:t>Every agency’s history is in scope, not just the two agencies with servers. The conversion must carry a source identifier and preserve the NIBRS Group A mapping or a traceable crosswalk. Uncertain mappings need review; they cannot quietly become a different classification or disappear.</w:t>
      </w:r>
    </w:p>
    <w:p>
      <w:pPr>
        <w:spacing w:after="60"/>
      </w:pPr>
      <w:r>
        <w:rPr>
          <w:b/>
        </w:rPr>
        <w:t xml:space="preserve">Kenji Zamora — Information security: </w:t>
      </w:r>
      <w:r>
        <w:t>Treat CJIS alignment as a validation obligation. The records tier is not merely a database: replicas, backups, privileged administration, and support access must be inside the approved boundary and subject to controlled access and logging. A low-latency location outside that boundary cannot become a records replica just because it is convenient.</w:t>
      </w:r>
    </w:p>
    <w:p>
      <w:pPr>
        <w:spacing w:after="60"/>
      </w:pPr>
      <w:r>
        <w:rPr>
          <w:b/>
        </w:rPr>
        <w:t xml:space="preserve">Anders Sorensen — Integration lead: </w:t>
      </w:r>
      <w:r>
        <w:t>A split design is technically buildable if it makes the interface durable, monitored, and reconcilable. When the interface is unavailable, transactions need a controlled queue and later reconciliation; no team should guess which side is current. Retained servers should be restricted from new shared-current updates once cutover occurs.</w:t>
      </w:r>
    </w:p>
    <w:p>
      <w:pPr>
        <w:spacing w:after="60"/>
      </w:pPr>
      <w:r>
        <w:rPr>
          <w:b/>
        </w:rPr>
        <w:t xml:space="preserve">Sigrid Kaczmarek — Migration coordinator: </w:t>
      </w:r>
      <w:r>
        <w:t>With the present team, use one representative rehearsal and risk-based sequencing rather than promising repeated full dress rehearsals. Protect active incidents at cutover with a defined handoff or capture-and-replay method, preserve rollback before the irreversible point, and make go/no-go depend on evidence, not the calendar.</w:t>
      </w:r>
    </w:p>
    <w:p>
      <w:pPr>
        <w:pStyle w:val="Heading1"/>
        <w:spacing w:after="50"/>
      </w:pPr>
      <w:r>
        <w:t>Open boundary for discovery</w:t>
      </w:r>
    </w:p>
    <w:p>
      <w:pPr>
        <w:spacing w:after="50"/>
      </w:pPr>
      <w:r>
        <w:t>The future vendor must demonstrate how the chosen boundary will be operated, validated, monitored, and recovered. These notes intentionally do not state a performance target, retention duration, vendor capability, or compliance certification that has not been established.</w:t>
      </w:r>
    </w:p>
    <w:sectPr w:rsidR="00FC693F" w:rsidRPr="0006063C" w:rsidSect="00034616">
      <w:footerReference w:type="default" r:id="rId9"/>
      <w:pgSz w:w="12240" w:h="15840"/>
      <w:pgMar w:top="749"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Cattermole Valley Regional Dispatch Authority  |  Internal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