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pPr>
      <w:r>
        <w:t>Interim Meat &amp; Seafood Coverage Plan</w:t>
      </w:r>
    </w:p>
    <w:p>
      <w:pPr>
        <w:spacing w:after="120"/>
      </w:pPr>
      <w:r>
        <w:rPr>
          <w:color w:val="52636E"/>
          <w:sz w:val="18"/>
        </w:rPr>
        <w:t>Ballantyne Market Co-op | factual operating record for board and counsel review | 18 June 2026</w:t>
      </w:r>
    </w:p>
    <w:p>
      <w:pPr>
        <w:pStyle w:val="Heading2"/>
        <w:spacing w:before="160" w:after="60"/>
      </w:pPr>
      <w:r>
        <w:t>Interim Coverage Period</w:t>
      </w:r>
    </w:p>
    <w:p>
      <w:pPr>
        <w:spacing w:after="60" w:line="247" w:lineRule="auto"/>
      </w:pPr>
      <w:r>
        <w:t>Temporary assignments apply for fourteen Monday-Sunday operational weeks, 6 July 2026 through 11 October 2026, while Rosalie Dumont is on leave. The schedule contains 196 duty instances (14 recurring duties x 14 weeks) and 24 interim-duty hours each week. These are interim operating assignments only; they do not state legal advice or a permanent personnel action.</w:t>
      </w:r>
    </w:p>
    <w:tbl>
      <w:tblPr>
        <w:tblStyle w:val="TableGrid"/>
        <w:tblW w:type="auto" w:w="0"/>
        <w:jc w:val="center"/>
        <w:tblLook w:firstColumn="1" w:firstRow="1" w:lastColumn="0" w:lastRow="0" w:noHBand="0" w:noVBand="1" w:val="04A0"/>
      </w:tblPr>
      <w:tblGrid>
        <w:gridCol w:w="3552"/>
        <w:gridCol w:w="3552"/>
        <w:gridCol w:w="3552"/>
      </w:tblGrid>
      <w:tr>
        <w:trPr>
          <w:cantSplit/>
        </w:trPr>
        <w:tc>
          <w:tcPr>
            <w:tcW w:type="dxa" w:w="3552"/>
            <w:shd w:fill="007C83"/>
            <w:tcMar>
              <w:top w:w="80" w:type="dxa"/>
              <w:start w:w="80" w:type="dxa"/>
              <w:bottom w:w="80" w:type="dxa"/>
              <w:end w:w="80" w:type="dxa"/>
            </w:tcMar>
          </w:tcPr>
          <w:p>
            <w:r>
              <w:rPr>
                <w:b/>
                <w:color w:val="FFFFFF"/>
                <w:sz w:val="16"/>
              </w:rPr>
              <w:t>Interim owner</w:t>
            </w:r>
          </w:p>
        </w:tc>
        <w:tc>
          <w:tcPr>
            <w:tcW w:type="dxa" w:w="3552"/>
            <w:shd w:fill="007C83"/>
            <w:tcMar>
              <w:top w:w="80" w:type="dxa"/>
              <w:start w:w="80" w:type="dxa"/>
              <w:bottom w:w="80" w:type="dxa"/>
              <w:end w:w="80" w:type="dxa"/>
            </w:tcMar>
          </w:tcPr>
          <w:p>
            <w:r>
              <w:rPr>
                <w:b/>
                <w:color w:val="FFFFFF"/>
                <w:sz w:val="16"/>
              </w:rPr>
              <w:t>Recurring hours / cap</w:t>
            </w:r>
          </w:p>
        </w:tc>
        <w:tc>
          <w:tcPr>
            <w:tcW w:type="dxa" w:w="3552"/>
            <w:shd w:fill="007C83"/>
            <w:tcMar>
              <w:top w:w="80" w:type="dxa"/>
              <w:start w:w="80" w:type="dxa"/>
              <w:bottom w:w="80" w:type="dxa"/>
              <w:end w:w="80" w:type="dxa"/>
            </w:tcMar>
          </w:tcPr>
          <w:p>
            <w:r>
              <w:rPr>
                <w:b/>
                <w:color w:val="FFFFFF"/>
                <w:sz w:val="16"/>
              </w:rPr>
              <w:t>Accountable areas</w:t>
            </w:r>
          </w:p>
        </w:tc>
      </w:tr>
      <w:tr>
        <w:trPr>
          <w:cantSplit/>
        </w:trPr>
        <w:tc>
          <w:tcPr>
            <w:tcW w:type="dxa" w:w="3552"/>
            <w:vAlign w:val="top"/>
            <w:tcMar>
              <w:top w:w="80" w:type="dxa"/>
              <w:start w:w="80" w:type="dxa"/>
              <w:bottom w:w="80" w:type="dxa"/>
              <w:end w:w="80" w:type="dxa"/>
            </w:tcMar>
          </w:tcPr>
          <w:p>
            <w:pPr>
              <w:spacing w:after="0"/>
            </w:pPr>
            <w:r>
              <w:rPr>
                <w:sz w:val="16"/>
              </w:rPr>
              <w:t>Marisol Reyes</w:t>
            </w:r>
          </w:p>
        </w:tc>
        <w:tc>
          <w:tcPr>
            <w:tcW w:type="dxa" w:w="3552"/>
            <w:vAlign w:val="top"/>
            <w:tcMar>
              <w:top w:w="80" w:type="dxa"/>
              <w:start w:w="80" w:type="dxa"/>
              <w:bottom w:w="80" w:type="dxa"/>
              <w:end w:w="80" w:type="dxa"/>
            </w:tcMar>
          </w:tcPr>
          <w:p>
            <w:pPr>
              <w:spacing w:after="0"/>
            </w:pPr>
            <w:r>
              <w:rPr>
                <w:sz w:val="16"/>
              </w:rPr>
              <w:t>6 / 7</w:t>
            </w:r>
          </w:p>
        </w:tc>
        <w:tc>
          <w:tcPr>
            <w:tcW w:type="dxa" w:w="3552"/>
            <w:vAlign w:val="top"/>
            <w:tcMar>
              <w:top w:w="80" w:type="dxa"/>
              <w:start w:w="80" w:type="dxa"/>
              <w:bottom w:w="80" w:type="dxa"/>
              <w:end w:w="80" w:type="dxa"/>
            </w:tcMar>
          </w:tcPr>
          <w:p>
            <w:pPr>
              <w:spacing w:after="0"/>
            </w:pPr>
            <w:r>
              <w:rPr>
                <w:sz w:val="16"/>
              </w:rPr>
              <w:t>Ordering: forecast, draft, vendor release</w:t>
            </w:r>
          </w:p>
        </w:tc>
      </w:tr>
      <w:tr>
        <w:trPr>
          <w:cantSplit/>
        </w:trPr>
        <w:tc>
          <w:tcPr>
            <w:tcW w:type="dxa" w:w="3552"/>
            <w:vAlign w:val="top"/>
            <w:tcMar>
              <w:top w:w="80" w:type="dxa"/>
              <w:start w:w="80" w:type="dxa"/>
              <w:bottom w:w="80" w:type="dxa"/>
              <w:end w:w="80" w:type="dxa"/>
            </w:tcMar>
          </w:tcPr>
          <w:p>
            <w:pPr>
              <w:spacing w:after="0"/>
            </w:pPr>
            <w:r>
              <w:rPr>
                <w:sz w:val="16"/>
              </w:rPr>
              <w:t>Emeric Novak</w:t>
            </w:r>
          </w:p>
        </w:tc>
        <w:tc>
          <w:tcPr>
            <w:tcW w:type="dxa" w:w="3552"/>
            <w:vAlign w:val="top"/>
            <w:tcMar>
              <w:top w:w="80" w:type="dxa"/>
              <w:start w:w="80" w:type="dxa"/>
              <w:bottom w:w="80" w:type="dxa"/>
              <w:end w:w="80" w:type="dxa"/>
            </w:tcMar>
          </w:tcPr>
          <w:p>
            <w:pPr>
              <w:spacing w:after="0"/>
            </w:pPr>
            <w:r>
              <w:rPr>
                <w:sz w:val="16"/>
              </w:rPr>
              <w:t>5 / 5</w:t>
            </w:r>
          </w:p>
        </w:tc>
        <w:tc>
          <w:tcPr>
            <w:tcW w:type="dxa" w:w="3552"/>
            <w:vAlign w:val="top"/>
            <w:tcMar>
              <w:top w:w="80" w:type="dxa"/>
              <w:start w:w="80" w:type="dxa"/>
              <w:bottom w:w="80" w:type="dxa"/>
              <w:end w:w="80" w:type="dxa"/>
            </w:tcMar>
          </w:tcPr>
          <w:p>
            <w:pPr>
              <w:spacing w:after="0"/>
            </w:pPr>
            <w:r>
              <w:rPr>
                <w:sz w:val="16"/>
              </w:rPr>
              <w:t>Food-safety compliance; receiving disposition and traceability; sanitation</w:t>
            </w:r>
          </w:p>
        </w:tc>
      </w:tr>
      <w:tr>
        <w:trPr>
          <w:cantSplit/>
        </w:trPr>
        <w:tc>
          <w:tcPr>
            <w:tcW w:type="dxa" w:w="3552"/>
            <w:vAlign w:val="top"/>
            <w:tcMar>
              <w:top w:w="80" w:type="dxa"/>
              <w:start w:w="80" w:type="dxa"/>
              <w:bottom w:w="80" w:type="dxa"/>
              <w:end w:w="80" w:type="dxa"/>
            </w:tcMar>
          </w:tcPr>
          <w:p>
            <w:pPr>
              <w:spacing w:after="0"/>
            </w:pPr>
            <w:r>
              <w:rPr>
                <w:sz w:val="16"/>
              </w:rPr>
              <w:t>Amara Draganov</w:t>
            </w:r>
          </w:p>
        </w:tc>
        <w:tc>
          <w:tcPr>
            <w:tcW w:type="dxa" w:w="3552"/>
            <w:vAlign w:val="top"/>
            <w:tcMar>
              <w:top w:w="80" w:type="dxa"/>
              <w:start w:w="80" w:type="dxa"/>
              <w:bottom w:w="80" w:type="dxa"/>
              <w:end w:w="80" w:type="dxa"/>
            </w:tcMar>
          </w:tcPr>
          <w:p>
            <w:pPr>
              <w:spacing w:after="0"/>
            </w:pPr>
            <w:r>
              <w:rPr>
                <w:sz w:val="16"/>
              </w:rPr>
              <w:t>5 / 6</w:t>
            </w:r>
          </w:p>
        </w:tc>
        <w:tc>
          <w:tcPr>
            <w:tcW w:type="dxa" w:w="3552"/>
            <w:vAlign w:val="top"/>
            <w:tcMar>
              <w:top w:w="80" w:type="dxa"/>
              <w:start w:w="80" w:type="dxa"/>
              <w:bottom w:w="80" w:type="dxa"/>
              <w:end w:w="80" w:type="dxa"/>
            </w:tcMar>
          </w:tcPr>
          <w:p>
            <w:pPr>
              <w:spacing w:after="0"/>
            </w:pPr>
            <w:r>
              <w:rPr>
                <w:sz w:val="16"/>
              </w:rPr>
              <w:t>Production and cutting; Spanish-language closing-crew training</w:t>
            </w:r>
          </w:p>
        </w:tc>
      </w:tr>
      <w:tr>
        <w:trPr>
          <w:cantSplit/>
        </w:trPr>
        <w:tc>
          <w:tcPr>
            <w:tcW w:type="dxa" w:w="3552"/>
            <w:vAlign w:val="top"/>
            <w:tcMar>
              <w:top w:w="80" w:type="dxa"/>
              <w:start w:w="80" w:type="dxa"/>
              <w:bottom w:w="80" w:type="dxa"/>
              <w:end w:w="80" w:type="dxa"/>
            </w:tcMar>
          </w:tcPr>
          <w:p>
            <w:pPr>
              <w:spacing w:after="0"/>
            </w:pPr>
            <w:r>
              <w:rPr>
                <w:sz w:val="16"/>
              </w:rPr>
              <w:t>Yusuf Gasparyan</w:t>
            </w:r>
          </w:p>
        </w:tc>
        <w:tc>
          <w:tcPr>
            <w:tcW w:type="dxa" w:w="3552"/>
            <w:vAlign w:val="top"/>
            <w:tcMar>
              <w:top w:w="80" w:type="dxa"/>
              <w:start w:w="80" w:type="dxa"/>
              <w:bottom w:w="80" w:type="dxa"/>
              <w:end w:w="80" w:type="dxa"/>
            </w:tcMar>
          </w:tcPr>
          <w:p>
            <w:pPr>
              <w:spacing w:after="0"/>
            </w:pPr>
            <w:r>
              <w:rPr>
                <w:sz w:val="16"/>
              </w:rPr>
              <w:t>8 / 8</w:t>
            </w:r>
          </w:p>
        </w:tc>
        <w:tc>
          <w:tcPr>
            <w:tcW w:type="dxa" w:w="3552"/>
            <w:vAlign w:val="top"/>
            <w:tcMar>
              <w:top w:w="80" w:type="dxa"/>
              <w:start w:w="80" w:type="dxa"/>
              <w:bottom w:w="80" w:type="dxa"/>
              <w:end w:w="80" w:type="dxa"/>
            </w:tcMar>
          </w:tcPr>
          <w:p>
            <w:pPr>
              <w:spacing w:after="0"/>
            </w:pPr>
            <w:r>
              <w:rPr>
                <w:sz w:val="16"/>
              </w:rPr>
              <w:t>Receiving verification; inventory</w:t>
            </w:r>
          </w:p>
        </w:tc>
      </w:tr>
    </w:tbl>
    <w:p>
      <w:pPr>
        <w:spacing w:after="0"/>
      </w:pPr>
    </w:p>
    <w:p>
      <w:pPr>
        <w:pStyle w:val="Heading2"/>
        <w:spacing w:before="160" w:after="60"/>
      </w:pPr>
      <w:r>
        <w:t>Duty Ownership</w:t>
      </w:r>
    </w:p>
    <w:p>
      <w:pPr>
        <w:spacing w:after="60" w:line="247" w:lineRule="auto"/>
      </w:pPr>
      <w:r>
        <w:t>Marisol owns the non-HACCP ordering steps: demand forecast, purchase-order draft and vendor release. Emeric owns HACCP order review; delivery disposition and lot traceability closeout; and Friday sanitation verification. Yusuf owns delivery verification and the complete inventory chain (cycle count, variance review and shrink brief). Amara owns the complete production-training chain (cut plan, closing-crew demonstration and competency record). Each named person is accountable for the listed recurring work; backups are not baseline owners.</w:t>
      </w:r>
    </w:p>
    <w:p>
      <w:pPr>
        <w:pStyle w:val="Heading2"/>
        <w:spacing w:before="160" w:after="60"/>
      </w:pPr>
      <w:r>
        <w:t>Why These Owners</w:t>
      </w:r>
    </w:p>
    <w:tbl>
      <w:tblPr>
        <w:tblStyle w:val="TableGrid"/>
        <w:tblW w:type="auto" w:w="0"/>
        <w:jc w:val="center"/>
        <w:tblLook w:firstColumn="1" w:firstRow="1" w:lastColumn="0" w:lastRow="0" w:noHBand="0" w:noVBand="1" w:val="04A0"/>
      </w:tblPr>
      <w:tblGrid>
        <w:gridCol w:w="5328"/>
        <w:gridCol w:w="5328"/>
      </w:tblGrid>
      <w:tr>
        <w:trPr>
          <w:cantSplit/>
        </w:trPr>
        <w:tc>
          <w:tcPr>
            <w:tcW w:type="dxa" w:w="5328"/>
            <w:shd w:fill="007C83"/>
            <w:tcMar>
              <w:top w:w="80" w:type="dxa"/>
              <w:start w:w="80" w:type="dxa"/>
              <w:bottom w:w="80" w:type="dxa"/>
              <w:end w:w="80" w:type="dxa"/>
            </w:tcMar>
          </w:tcPr>
          <w:p>
            <w:r>
              <w:rPr>
                <w:b/>
                <w:color w:val="FFFFFF"/>
                <w:sz w:val="16"/>
              </w:rPr>
              <w:t>Person</w:t>
            </w:r>
          </w:p>
        </w:tc>
        <w:tc>
          <w:tcPr>
            <w:tcW w:type="dxa" w:w="5328"/>
            <w:shd w:fill="007C83"/>
            <w:tcMar>
              <w:top w:w="80" w:type="dxa"/>
              <w:start w:w="80" w:type="dxa"/>
              <w:bottom w:w="80" w:type="dxa"/>
              <w:end w:w="80" w:type="dxa"/>
            </w:tcMar>
          </w:tcPr>
          <w:p>
            <w:r>
              <w:rPr>
                <w:b/>
                <w:color w:val="FFFFFF"/>
                <w:sz w:val="16"/>
              </w:rPr>
              <w:t>Factual allocation basis</w:t>
            </w:r>
          </w:p>
        </w:tc>
      </w:tr>
      <w:tr>
        <w:trPr>
          <w:cantSplit/>
        </w:trPr>
        <w:tc>
          <w:tcPr>
            <w:tcW w:type="dxa" w:w="5328"/>
            <w:vAlign w:val="top"/>
            <w:tcMar>
              <w:top w:w="80" w:type="dxa"/>
              <w:start w:w="80" w:type="dxa"/>
              <w:bottom w:w="80" w:type="dxa"/>
              <w:end w:w="80" w:type="dxa"/>
            </w:tcMar>
          </w:tcPr>
          <w:p>
            <w:pPr>
              <w:spacing w:after="0"/>
            </w:pPr>
            <w:r>
              <w:rPr>
                <w:sz w:val="16"/>
              </w:rPr>
              <w:t>Marisol</w:t>
            </w:r>
          </w:p>
        </w:tc>
        <w:tc>
          <w:tcPr>
            <w:tcW w:type="dxa" w:w="5328"/>
            <w:vAlign w:val="top"/>
            <w:tcMar>
              <w:top w:w="80" w:type="dxa"/>
              <w:start w:w="80" w:type="dxa"/>
              <w:bottom w:w="80" w:type="dxa"/>
              <w:end w:w="80" w:type="dxa"/>
            </w:tcMar>
          </w:tcPr>
          <w:p>
            <w:pPr>
              <w:spacing w:after="0"/>
            </w:pPr>
            <w:r>
              <w:rPr>
                <w:sz w:val="16"/>
              </w:rPr>
              <w:t>Current ORDER_PLANNER and ORDER_RELEASE qualifications and purchasing coordination role. The 6-hour non-HACCP ordering sequence fits within the 7-hour interim cap; she does not hold HACCP sign-off.</w:t>
            </w:r>
          </w:p>
        </w:tc>
      </w:tr>
      <w:tr>
        <w:trPr>
          <w:cantSplit/>
        </w:trPr>
        <w:tc>
          <w:tcPr>
            <w:tcW w:type="dxa" w:w="5328"/>
            <w:vAlign w:val="top"/>
            <w:tcMar>
              <w:top w:w="80" w:type="dxa"/>
              <w:start w:w="80" w:type="dxa"/>
              <w:bottom w:w="80" w:type="dxa"/>
              <w:end w:w="80" w:type="dxa"/>
            </w:tcMar>
          </w:tcPr>
          <w:p>
            <w:pPr>
              <w:spacing w:after="0"/>
            </w:pPr>
            <w:r>
              <w:rPr>
                <w:sz w:val="16"/>
              </w:rPr>
              <w:t>Emeric</w:t>
            </w:r>
          </w:p>
        </w:tc>
        <w:tc>
          <w:tcPr>
            <w:tcW w:type="dxa" w:w="5328"/>
            <w:vAlign w:val="top"/>
            <w:tcMar>
              <w:top w:w="80" w:type="dxa"/>
              <w:start w:w="80" w:type="dxa"/>
              <w:bottom w:w="80" w:type="dxa"/>
              <w:end w:w="80" w:type="dxa"/>
            </w:tcMar>
          </w:tcPr>
          <w:p>
            <w:pPr>
              <w:spacing w:after="0"/>
            </w:pPr>
            <w:r>
              <w:rPr>
                <w:sz w:val="16"/>
              </w:rPr>
              <w:t>Current HACCP_SIGNOFF and SANITATION_VERIFY qualifications support the independent order and receiving gates plus sanitation. Those controls total 5 hours, matching the 5-hour cap.</w:t>
            </w:r>
          </w:p>
        </w:tc>
      </w:tr>
      <w:tr>
        <w:trPr>
          <w:cantSplit/>
        </w:trPr>
        <w:tc>
          <w:tcPr>
            <w:tcW w:type="dxa" w:w="5328"/>
            <w:vAlign w:val="top"/>
            <w:tcMar>
              <w:top w:w="80" w:type="dxa"/>
              <w:start w:w="80" w:type="dxa"/>
              <w:bottom w:w="80" w:type="dxa"/>
              <w:end w:w="80" w:type="dxa"/>
            </w:tcMar>
          </w:tcPr>
          <w:p>
            <w:pPr>
              <w:spacing w:after="0"/>
            </w:pPr>
            <w:r>
              <w:rPr>
                <w:sz w:val="16"/>
              </w:rPr>
              <w:t>Amara</w:t>
            </w:r>
          </w:p>
        </w:tc>
        <w:tc>
          <w:tcPr>
            <w:tcW w:type="dxa" w:w="5328"/>
            <w:vAlign w:val="top"/>
            <w:tcMar>
              <w:top w:w="80" w:type="dxa"/>
              <w:start w:w="80" w:type="dxa"/>
              <w:bottom w:w="80" w:type="dxa"/>
              <w:end w:w="80" w:type="dxa"/>
            </w:tcMar>
          </w:tcPr>
          <w:p>
            <w:pPr>
              <w:spacing w:after="0"/>
            </w:pPr>
            <w:r>
              <w:rPr>
                <w:sz w:val="16"/>
              </w:rPr>
              <w:t>Current MASTER_CUT and SPANISH_TRAINER qualifications make her the only person able to complete the 5-hour production-training chain for the Spanish-language closing crew. The source reserves her capacity for that chain.</w:t>
            </w:r>
          </w:p>
        </w:tc>
      </w:tr>
      <w:tr>
        <w:trPr>
          <w:cantSplit/>
        </w:trPr>
        <w:tc>
          <w:tcPr>
            <w:tcW w:type="dxa" w:w="5328"/>
            <w:vAlign w:val="top"/>
            <w:tcMar>
              <w:top w:w="80" w:type="dxa"/>
              <w:start w:w="80" w:type="dxa"/>
              <w:bottom w:w="80" w:type="dxa"/>
              <w:end w:w="80" w:type="dxa"/>
            </w:tcMar>
          </w:tcPr>
          <w:p>
            <w:pPr>
              <w:spacing w:after="0"/>
            </w:pPr>
            <w:r>
              <w:rPr>
                <w:sz w:val="16"/>
              </w:rPr>
              <w:t>Yusuf</w:t>
            </w:r>
          </w:p>
        </w:tc>
        <w:tc>
          <w:tcPr>
            <w:tcW w:type="dxa" w:w="5328"/>
            <w:vAlign w:val="top"/>
            <w:tcMar>
              <w:top w:w="80" w:type="dxa"/>
              <w:start w:w="80" w:type="dxa"/>
              <w:bottom w:w="80" w:type="dxa"/>
              <w:end w:w="80" w:type="dxa"/>
            </w:tcMar>
          </w:tcPr>
          <w:p>
            <w:pPr>
              <w:spacing w:after="0"/>
            </w:pPr>
            <w:r>
              <w:rPr>
                <w:sz w:val="16"/>
              </w:rPr>
              <w:t>Current RECEIVING and INVENTORY_CONTROL qualifications support 2 hours of verification and the continuous 6-hour inventory chain, exactly filling the 8-hour cap.</w:t>
            </w:r>
          </w:p>
        </w:tc>
      </w:tr>
    </w:tbl>
    <w:p>
      <w:pPr>
        <w:spacing w:after="0"/>
      </w:pPr>
    </w:p>
    <w:p>
      <w:pPr>
        <w:spacing w:after="60" w:line="247" w:lineRule="auto"/>
      </w:pPr>
      <w:r>
        <w:t>The strongest floor performer cannot simply absorb the whole role: Amara is not qualified for HACCP sign-off or vendor release, and her available interim capacity is reserved for the unique master-cut and Spanish-language training work. The remaining specialist controls, weekly caps and inventory continuity therefore require this distributed temporary arrangement. It also keeps the specialized training responsibility covered through the autumn rather than concentrating it in one person.</w:t>
      </w:r>
    </w:p>
    <w:p>
      <w:pPr>
        <w:pStyle w:val="Heading2"/>
        <w:spacing w:before="160" w:after="60"/>
      </w:pPr>
      <w:r>
        <w:t>Weekly Handoff SOP</w:t>
      </w:r>
    </w:p>
    <w:tbl>
      <w:tblPr>
        <w:tblStyle w:val="TableGrid"/>
        <w:tblW w:type="auto" w:w="0"/>
        <w:jc w:val="center"/>
        <w:tblLook w:firstColumn="1" w:firstRow="1" w:lastColumn="0" w:lastRow="0" w:noHBand="0" w:noVBand="1" w:val="04A0"/>
      </w:tblPr>
      <w:tblGrid>
        <w:gridCol w:w="3552"/>
        <w:gridCol w:w="3552"/>
        <w:gridCol w:w="3552"/>
      </w:tblGrid>
      <w:tr>
        <w:trPr>
          <w:cantSplit/>
        </w:trPr>
        <w:tc>
          <w:tcPr>
            <w:tcW w:type="dxa" w:w="3552"/>
            <w:shd w:fill="007C83"/>
            <w:tcMar>
              <w:top w:w="80" w:type="dxa"/>
              <w:start w:w="80" w:type="dxa"/>
              <w:bottom w:w="80" w:type="dxa"/>
              <w:end w:w="80" w:type="dxa"/>
            </w:tcMar>
          </w:tcPr>
          <w:p>
            <w:r>
              <w:rPr>
                <w:b/>
                <w:color w:val="FFFFFF"/>
                <w:sz w:val="16"/>
              </w:rPr>
              <w:t>Workflow</w:t>
            </w:r>
          </w:p>
        </w:tc>
        <w:tc>
          <w:tcPr>
            <w:tcW w:type="dxa" w:w="3552"/>
            <w:shd w:fill="007C83"/>
            <w:tcMar>
              <w:top w:w="80" w:type="dxa"/>
              <w:start w:w="80" w:type="dxa"/>
              <w:bottom w:w="80" w:type="dxa"/>
              <w:end w:w="80" w:type="dxa"/>
            </w:tcMar>
          </w:tcPr>
          <w:p>
            <w:r>
              <w:rPr>
                <w:b/>
                <w:color w:val="FFFFFF"/>
                <w:sz w:val="16"/>
              </w:rPr>
              <w:t>Cadence, owner and handoff</w:t>
            </w:r>
          </w:p>
        </w:tc>
        <w:tc>
          <w:tcPr>
            <w:tcW w:type="dxa" w:w="3552"/>
            <w:shd w:fill="007C83"/>
            <w:tcMar>
              <w:top w:w="80" w:type="dxa"/>
              <w:start w:w="80" w:type="dxa"/>
              <w:bottom w:w="80" w:type="dxa"/>
              <w:end w:w="80" w:type="dxa"/>
            </w:tcMar>
          </w:tcPr>
          <w:p>
            <w:r>
              <w:rPr>
                <w:b/>
                <w:color w:val="FFFFFF"/>
                <w:sz w:val="16"/>
              </w:rPr>
              <w:t>Completion evidence</w:t>
            </w:r>
          </w:p>
        </w:tc>
      </w:tr>
      <w:tr>
        <w:trPr>
          <w:cantSplit/>
        </w:trPr>
        <w:tc>
          <w:tcPr>
            <w:tcW w:type="dxa" w:w="3552"/>
            <w:vAlign w:val="top"/>
            <w:tcMar>
              <w:top w:w="80" w:type="dxa"/>
              <w:start w:w="80" w:type="dxa"/>
              <w:bottom w:w="80" w:type="dxa"/>
              <w:end w:w="80" w:type="dxa"/>
            </w:tcMar>
          </w:tcPr>
          <w:p>
            <w:pPr>
              <w:spacing w:after="0"/>
            </w:pPr>
            <w:r>
              <w:rPr>
                <w:sz w:val="16"/>
              </w:rPr>
              <w:t>Ordering</w:t>
            </w:r>
          </w:p>
        </w:tc>
        <w:tc>
          <w:tcPr>
            <w:tcW w:type="dxa" w:w="3552"/>
            <w:vAlign w:val="top"/>
            <w:tcMar>
              <w:top w:w="80" w:type="dxa"/>
              <w:start w:w="80" w:type="dxa"/>
              <w:bottom w:w="80" w:type="dxa"/>
              <w:end w:w="80" w:type="dxa"/>
            </w:tcMar>
          </w:tcPr>
          <w:p>
            <w:pPr>
              <w:spacing w:after="0"/>
            </w:pPr>
            <w:r>
              <w:rPr>
                <w:sz w:val="16"/>
              </w:rPr>
              <w:t>Monday 08:00 forecast (Marisol) -&gt; 10:00 draft (Marisol) -&gt; 13:00 HACCP review (Emeric) -&gt; 14:00 vendor release (Marisol), all within 30 minutes of the predecessor and released by 15:30.</w:t>
            </w:r>
          </w:p>
        </w:tc>
        <w:tc>
          <w:tcPr>
            <w:tcW w:type="dxa" w:w="3552"/>
            <w:vAlign w:val="top"/>
            <w:tcMar>
              <w:top w:w="80" w:type="dxa"/>
              <w:start w:w="80" w:type="dxa"/>
              <w:bottom w:w="80" w:type="dxa"/>
              <w:end w:w="80" w:type="dxa"/>
            </w:tcMar>
          </w:tcPr>
          <w:p>
            <w:pPr>
              <w:spacing w:after="0"/>
            </w:pPr>
            <w:r>
              <w:rPr>
                <w:sz w:val="16"/>
              </w:rPr>
              <w:t>Forecast workbook; draft PO; HACCP initials; vendor confirmation</w:t>
            </w:r>
          </w:p>
        </w:tc>
      </w:tr>
      <w:tr>
        <w:trPr>
          <w:cantSplit/>
        </w:trPr>
        <w:tc>
          <w:tcPr>
            <w:tcW w:type="dxa" w:w="3552"/>
            <w:vAlign w:val="top"/>
            <w:tcMar>
              <w:top w:w="80" w:type="dxa"/>
              <w:start w:w="80" w:type="dxa"/>
              <w:bottom w:w="80" w:type="dxa"/>
              <w:end w:w="80" w:type="dxa"/>
            </w:tcMar>
          </w:tcPr>
          <w:p>
            <w:pPr>
              <w:spacing w:after="0"/>
            </w:pPr>
            <w:r>
              <w:rPr>
                <w:sz w:val="16"/>
              </w:rPr>
              <w:t>Receiving</w:t>
            </w:r>
          </w:p>
        </w:tc>
        <w:tc>
          <w:tcPr>
            <w:tcW w:type="dxa" w:w="3552"/>
            <w:vAlign w:val="top"/>
            <w:tcMar>
              <w:top w:w="80" w:type="dxa"/>
              <w:start w:w="80" w:type="dxa"/>
              <w:bottom w:w="80" w:type="dxa"/>
              <w:end w:w="80" w:type="dxa"/>
            </w:tcMar>
          </w:tcPr>
          <w:p>
            <w:pPr>
              <w:spacing w:after="0"/>
            </w:pPr>
            <w:r>
              <w:rPr>
                <w:sz w:val="16"/>
              </w:rPr>
              <w:t>Thursday 06:00 verification (Yusuf) -&gt; 08:00 HACCP disposition (Emeric) -&gt; 09:00 traceability closeout (Emeric); complete by 10:30.</w:t>
            </w:r>
          </w:p>
        </w:tc>
        <w:tc>
          <w:tcPr>
            <w:tcW w:type="dxa" w:w="3552"/>
            <w:vAlign w:val="top"/>
            <w:tcMar>
              <w:top w:w="80" w:type="dxa"/>
              <w:start w:w="80" w:type="dxa"/>
              <w:bottom w:w="80" w:type="dxa"/>
              <w:end w:w="80" w:type="dxa"/>
            </w:tcMar>
          </w:tcPr>
          <w:p>
            <w:pPr>
              <w:spacing w:after="0"/>
            </w:pPr>
            <w:r>
              <w:rPr>
                <w:sz w:val="16"/>
              </w:rPr>
              <w:t>Receiving log; disposition entry; lot traceability closeout</w:t>
            </w:r>
          </w:p>
        </w:tc>
      </w:tr>
      <w:tr>
        <w:trPr>
          <w:cantSplit/>
        </w:trPr>
        <w:tc>
          <w:tcPr>
            <w:tcW w:type="dxa" w:w="3552"/>
            <w:vAlign w:val="top"/>
            <w:tcMar>
              <w:top w:w="80" w:type="dxa"/>
              <w:start w:w="80" w:type="dxa"/>
              <w:bottom w:w="80" w:type="dxa"/>
              <w:end w:w="80" w:type="dxa"/>
            </w:tcMar>
          </w:tcPr>
          <w:p>
            <w:pPr>
              <w:spacing w:after="0"/>
            </w:pPr>
            <w:r>
              <w:rPr>
                <w:sz w:val="16"/>
              </w:rPr>
              <w:t>Production and training</w:t>
            </w:r>
          </w:p>
        </w:tc>
        <w:tc>
          <w:tcPr>
            <w:tcW w:type="dxa" w:w="3552"/>
            <w:vAlign w:val="top"/>
            <w:tcMar>
              <w:top w:w="80" w:type="dxa"/>
              <w:start w:w="80" w:type="dxa"/>
              <w:bottom w:w="80" w:type="dxa"/>
              <w:end w:w="80" w:type="dxa"/>
            </w:tcMar>
          </w:tcPr>
          <w:p>
            <w:pPr>
              <w:spacing w:after="0"/>
            </w:pPr>
            <w:r>
              <w:rPr>
                <w:sz w:val="16"/>
              </w:rPr>
              <w:t>Tuesday 07:00 cut plan -&gt; 10:00 Spanish-language closing-crew demonstration -&gt; 11:00 competency record (all Amara); sequential with no gap above 30 minutes.</w:t>
            </w:r>
          </w:p>
        </w:tc>
        <w:tc>
          <w:tcPr>
            <w:tcW w:type="dxa" w:w="3552"/>
            <w:vAlign w:val="top"/>
            <w:tcMar>
              <w:top w:w="80" w:type="dxa"/>
              <w:start w:w="80" w:type="dxa"/>
              <w:bottom w:w="80" w:type="dxa"/>
              <w:end w:w="80" w:type="dxa"/>
            </w:tcMar>
          </w:tcPr>
          <w:p>
            <w:pPr>
              <w:spacing w:after="0"/>
            </w:pPr>
            <w:r>
              <w:rPr>
                <w:sz w:val="16"/>
              </w:rPr>
              <w:t>Cut plan; crew acknowledgment; competency record</w:t>
            </w:r>
          </w:p>
        </w:tc>
      </w:tr>
      <w:tr>
        <w:trPr>
          <w:cantSplit/>
        </w:trPr>
        <w:tc>
          <w:tcPr>
            <w:tcW w:type="dxa" w:w="3552"/>
            <w:vAlign w:val="top"/>
            <w:tcMar>
              <w:top w:w="80" w:type="dxa"/>
              <w:start w:w="80" w:type="dxa"/>
              <w:bottom w:w="80" w:type="dxa"/>
              <w:end w:w="80" w:type="dxa"/>
            </w:tcMar>
          </w:tcPr>
          <w:p>
            <w:pPr>
              <w:spacing w:after="0"/>
            </w:pPr>
            <w:r>
              <w:rPr>
                <w:sz w:val="16"/>
              </w:rPr>
              <w:t>Inventory</w:t>
            </w:r>
          </w:p>
        </w:tc>
        <w:tc>
          <w:tcPr>
            <w:tcW w:type="dxa" w:w="3552"/>
            <w:vAlign w:val="top"/>
            <w:tcMar>
              <w:top w:w="80" w:type="dxa"/>
              <w:start w:w="80" w:type="dxa"/>
              <w:bottom w:w="80" w:type="dxa"/>
              <w:end w:w="80" w:type="dxa"/>
            </w:tcMar>
          </w:tcPr>
          <w:p>
            <w:pPr>
              <w:spacing w:after="0"/>
            </w:pPr>
            <w:r>
              <w:rPr>
                <w:sz w:val="16"/>
              </w:rPr>
              <w:t>Wednesday 07:00 cycle count -&gt; 10:00 variance review -&gt; 12:00 shrink brief (all Yusuf); one accountable owner maintains continuity.</w:t>
            </w:r>
          </w:p>
        </w:tc>
        <w:tc>
          <w:tcPr>
            <w:tcW w:type="dxa" w:w="3552"/>
            <w:vAlign w:val="top"/>
            <w:tcMar>
              <w:top w:w="80" w:type="dxa"/>
              <w:start w:w="80" w:type="dxa"/>
              <w:bottom w:w="80" w:type="dxa"/>
              <w:end w:w="80" w:type="dxa"/>
            </w:tcMar>
          </w:tcPr>
          <w:p>
            <w:pPr>
              <w:spacing w:after="0"/>
            </w:pPr>
            <w:r>
              <w:rPr>
                <w:sz w:val="16"/>
              </w:rPr>
              <w:t>Count sheet; variance log; shrink acknowledgment</w:t>
            </w:r>
          </w:p>
        </w:tc>
      </w:tr>
      <w:tr>
        <w:trPr>
          <w:cantSplit/>
        </w:trPr>
        <w:tc>
          <w:tcPr>
            <w:tcW w:type="dxa" w:w="3552"/>
            <w:vAlign w:val="top"/>
            <w:tcMar>
              <w:top w:w="80" w:type="dxa"/>
              <w:start w:w="80" w:type="dxa"/>
              <w:bottom w:w="80" w:type="dxa"/>
              <w:end w:w="80" w:type="dxa"/>
            </w:tcMar>
          </w:tcPr>
          <w:p>
            <w:pPr>
              <w:spacing w:after="0"/>
            </w:pPr>
            <w:r>
              <w:rPr>
                <w:sz w:val="16"/>
              </w:rPr>
              <w:t>Sanitation</w:t>
            </w:r>
          </w:p>
        </w:tc>
        <w:tc>
          <w:tcPr>
            <w:tcW w:type="dxa" w:w="3552"/>
            <w:vAlign w:val="top"/>
            <w:tcMar>
              <w:top w:w="80" w:type="dxa"/>
              <w:start w:w="80" w:type="dxa"/>
              <w:bottom w:w="80" w:type="dxa"/>
              <w:end w:w="80" w:type="dxa"/>
            </w:tcMar>
          </w:tcPr>
          <w:p>
            <w:pPr>
              <w:spacing w:after="0"/>
            </w:pPr>
            <w:r>
              <w:rPr>
                <w:sz w:val="16"/>
              </w:rPr>
              <w:t>Friday 15:00-17:00 verification (Emeric) within the 15:00-17:30 control window.</w:t>
            </w:r>
          </w:p>
        </w:tc>
        <w:tc>
          <w:tcPr>
            <w:tcW w:type="dxa" w:w="3552"/>
            <w:vAlign w:val="top"/>
            <w:tcMar>
              <w:top w:w="80" w:type="dxa"/>
              <w:start w:w="80" w:type="dxa"/>
              <w:bottom w:w="80" w:type="dxa"/>
              <w:end w:w="80" w:type="dxa"/>
            </w:tcMar>
          </w:tcPr>
          <w:p>
            <w:pPr>
              <w:spacing w:after="0"/>
            </w:pPr>
            <w:r>
              <w:rPr>
                <w:sz w:val="16"/>
              </w:rPr>
              <w:t>Sanitation verification log</w:t>
            </w:r>
          </w:p>
        </w:tc>
      </w:tr>
    </w:tbl>
    <w:p>
      <w:pPr>
        <w:spacing w:after="0"/>
      </w:pPr>
    </w:p>
    <w:p>
      <w:pPr>
        <w:spacing w:after="60" w:line="247" w:lineRule="auto"/>
      </w:pPr>
      <w:r>
        <w:t>For the week beginning 7 September, the closure and exception windows in the schedule apply: ordering Tuesday 12:00-19:30; production Wednesday 13:30-19:00; inventory Thursday 10:30-17:00; receiving Friday 06:00-10:30; sanitation Friday 17:30-19:30. The same owners, durations, sequence and weekly total apply.</w:t>
      </w:r>
    </w:p>
    <w:p>
      <w:pPr>
        <w:pStyle w:val="Heading2"/>
        <w:spacing w:before="160" w:after="60"/>
      </w:pPr>
      <w:r>
        <w:t>Exceptions and Escalation</w:t>
      </w:r>
    </w:p>
    <w:p>
      <w:pPr>
        <w:spacing w:after="60" w:line="247" w:lineRule="auto"/>
      </w:pPr>
      <w:r>
        <w:t>A missed handoff is recorded in the predecessor evidence item and reported to the GM immediately; the successor does not proceed until the predecessor record is complete. If the accountable qualified owner is unavailable, use the named qualified backup in the schedule; where the schedule says “NO QUALIFIED BACKUP — GM ESCALATION,” notify the GM before the control window and retain the escalation record. A failed food-safety check is held for Emeric’s HACCP disposition and GM escalation, with the receiving/disposition evidence retained. A source-data ambiguity is not resolved by changing a duty, qualification or cap: retain the export reference, use current applicable M&amp;S records, and refer it to the GM for confirmation before work proceeds.</w:t>
      </w:r>
    </w:p>
    <w:p>
      <w:pPr>
        <w:pStyle w:val="Heading2"/>
        <w:spacing w:before="160" w:after="60"/>
      </w:pPr>
      <w:r>
        <w:t>Source Data Note</w:t>
      </w:r>
    </w:p>
    <w:p>
      <w:pPr>
        <w:spacing w:after="60" w:line="247" w:lineRule="auto"/>
      </w:pPr>
      <w:r>
        <w:t>The operating schedule uses current, applicable M&amp;S records. It counts a repeated current duty ID/version once; excludes the retired longer-window template, rows marked TEST with malformed windows, and deli/bakery records; normalizes supplied qualification display variants to their canonical labels; and uses the current availability record rather than the earlier stale record. Worker IDs reconcile abbreviated duplicate names without adding personnel.</w:t>
      </w:r>
    </w:p>
    <w:p>
      <w:pPr>
        <w:pStyle w:val="Heading2"/>
        <w:spacing w:before="160" w:after="60"/>
      </w:pPr>
      <w:r>
        <w:t>Return Handoff</w:t>
      </w:r>
    </w:p>
    <w:p>
      <w:pPr>
        <w:spacing w:after="60" w:line="247" w:lineRule="auto"/>
      </w:pPr>
      <w:r>
        <w:t>On Monday 12 October 2026, after the temporary coverage period, the four interim owners will provide Rosalie Dumont a dated return packet: open orders and vendor confirmations (Marisol); HACCP, receiving, traceability and sanitation records (Emeric); cut plans and closing-crew training/competency status (Amara); and cycle-count, variance and shrink exceptions (Yusuf). The GM will record the handoff completion. Interim ownership sunsets after that return handoff unless a separate operating record is issued.</w:t>
      </w:r>
    </w:p>
    <w:sectPr w:rsidR="00FC693F" w:rsidRPr="0006063C" w:rsidSect="00034616">
      <w:footerReference w:type="default" r:id="rId9"/>
      <w:pgSz w:w="12240" w:h="15840"/>
      <w:pgMar w:top="691"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36E"/>
        <w:sz w:val="14"/>
      </w:rPr>
      <w:t>Ballantyne Market Co-op | Interim operating record | 18 June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07C8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0354A"/>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