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rial" w:hAnsi="Arial" w:eastAsia="Arial"/>
          <w:b/>
          <w:i w:val="0"/>
          <w:color w:val="173A5E"/>
          <w:sz w:val="30"/>
        </w:rPr>
        <w:t>CORRECTED CASE RESPONSE</w:t>
      </w:r>
    </w:p>
    <w:p>
      <w:pPr>
        <w:spacing w:before="0" w:after="120" w:line="240" w:lineRule="auto"/>
      </w:pPr>
      <w:r>
        <w:rPr>
          <w:rFonts w:ascii="Arial" w:hAnsi="Arial" w:eastAsia="Arial"/>
          <w:b w:val="0"/>
          <w:i w:val="0"/>
          <w:color w:val="5B6670"/>
          <w:sz w:val="18"/>
        </w:rPr>
        <w:t>Premium withdrawal dispute | Completed reusable internal form</w:t>
      </w:r>
    </w:p>
    <w:tbl>
      <w:tblPr>
        <w:tblW w:type="auto" w:w="0"/>
        <w:jc w:val="center"/>
        <w:tblLayout w:type="fixed"/>
        <w:tblLook w:firstColumn="1" w:firstRow="1" w:lastColumn="0" w:lastRow="0" w:noHBand="0" w:noVBand="1" w:val="04A0"/>
      </w:tblPr>
      <w:tblGrid>
        <w:gridCol w:w="5328"/>
        <w:gridCol w:w="5328"/>
      </w:tblGrid>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To / decision owner</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Astrid Hutchins</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Prepared by</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Mikkel Wickramasinghe | Customer Service</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Case</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Foxhollow Industries | Ravensmoor Freight | Camila Magnusson</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Evidence cut-off</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Information reviewed through 14 February 2025 only</w:t>
            </w:r>
          </w:p>
        </w:tc>
      </w:tr>
    </w:tbl>
    <w:p>
      <w:pPr>
        <w:keepNext/>
        <w:spacing w:before="140" w:after="60" w:line="240" w:lineRule="auto"/>
        <w:ind w:left="0"/>
      </w:pPr>
      <w:r>
        <w:rPr>
          <w:rFonts w:ascii="Arial" w:hAnsi="Arial" w:eastAsia="Arial"/>
          <w:b/>
          <w:color w:val="0E6B68"/>
          <w:sz w:val="20"/>
        </w:rPr>
        <w:t>1. Record facts and premium comparison</w:t>
      </w:r>
    </w:p>
    <w:tbl>
      <w:tblPr>
        <w:tblW w:type="auto" w:w="0"/>
        <w:jc w:val="center"/>
        <w:tblLayout w:type="fixed"/>
        <w:tblLook w:firstColumn="1" w:firstRow="1" w:lastColumn="0" w:lastRow="0" w:noHBand="0" w:noVBand="1" w:val="04A0"/>
      </w:tblPr>
      <w:tblGrid>
        <w:gridCol w:w="5328"/>
        <w:gridCol w:w="5328"/>
      </w:tblGrid>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Authorization history</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Recurring electronic payment was recorded for the same policy across both comparison periods.</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Prior period</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$1,240 withdrawn on 14 February 2024</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Current period</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$1,410 withdrawn on 14 February 2025. The 31 January 2025 renewal notice showed this premium and the policy reference; the debit aligns with that notice.</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Material change</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$170 increase ($1,410 - $1,240), approximately 13.7%</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Review limits</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No cancellation or withdrawal of authorization was recorded before the current debit. The reviewed record contains no report of stolen credentials, impersonation, or another account-takeover indicator; their absence from the record is not a finding that they were impossible.</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Customer account</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Camila Magnusson said she expected an invoice and did not understand that the renewal would be collected automatically.</w:t>
            </w:r>
          </w:p>
        </w:tc>
      </w:tr>
    </w:tbl>
    <w:p>
      <w:pPr>
        <w:keepNext/>
        <w:spacing w:before="140" w:after="60" w:line="240" w:lineRule="auto"/>
        <w:ind w:left="0"/>
      </w:pPr>
      <w:r>
        <w:rPr>
          <w:rFonts w:ascii="Arial" w:hAnsi="Arial" w:eastAsia="Arial"/>
          <w:b/>
          <w:color w:val="0E6B68"/>
          <w:sz w:val="20"/>
        </w:rPr>
        <w:t>2. Draft defects corrected</w:t>
      </w:r>
    </w:p>
    <w:tbl>
      <w:tblPr>
        <w:tblW w:type="auto" w:w="0"/>
        <w:jc w:val="center"/>
        <w:tblLayout w:type="fixed"/>
        <w:tblLook w:firstColumn="1" w:firstRow="1" w:lastColumn="0" w:lastRow="0" w:noHBand="0" w:noVBand="1" w:val="04A0"/>
      </w:tblPr>
      <w:tblGrid>
        <w:gridCol w:w="5328"/>
        <w:gridCol w:w="5328"/>
      </w:tblGrid>
      <w:tr>
        <w:trPr>
          <w:cantSplit/>
          <w:tblHeader w:val="true"/>
        </w:trPr>
        <w:tc>
          <w:tcPr>
            <w:tcW w:type="dxa" w:w="2476"/>
            <w:shd w:fill="173A5E"/>
            <w:tcMar>
              <w:top w:w="80" w:type="dxa"/>
              <w:start w:w="100" w:type="dxa"/>
              <w:bottom w:w="80" w:type="dxa"/>
              <w:end w:w="100" w:type="dxa"/>
            </w:tcMar>
          </w:tcPr>
          <w:p>
            <w:pPr>
              <w:spacing w:before="0" w:after="0" w:line="247" w:lineRule="auto"/>
            </w:pPr>
            <w:r>
              <w:rPr>
                <w:rFonts w:ascii="Arial" w:hAnsi="Arial" w:eastAsia="Arial"/>
                <w:b/>
                <w:i w:val="0"/>
                <w:color w:val="FFFFFF"/>
                <w:sz w:val="17"/>
              </w:rPr>
              <w:t>Draft defect</w:t>
            </w:r>
          </w:p>
        </w:tc>
        <w:tc>
          <w:tcPr>
            <w:tcW w:type="dxa" w:w="8179"/>
            <w:shd w:fill="173A5E"/>
            <w:tcMar>
              <w:top w:w="80" w:type="dxa"/>
              <w:start w:w="100" w:type="dxa"/>
              <w:bottom w:w="80" w:type="dxa"/>
              <w:end w:w="100" w:type="dxa"/>
            </w:tcMar>
          </w:tcPr>
          <w:p>
            <w:pPr>
              <w:spacing w:before="0" w:after="0" w:line="247" w:lineRule="auto"/>
            </w:pPr>
            <w:r>
              <w:rPr>
                <w:rFonts w:ascii="Arial" w:hAnsi="Arial" w:eastAsia="Arial"/>
                <w:b/>
                <w:i w:val="0"/>
                <w:color w:val="FFFFFF"/>
                <w:sz w:val="17"/>
              </w:rPr>
              <w:t>Evidence-limited correction</w:t>
            </w:r>
          </w:p>
        </w:tc>
      </w:tr>
      <w:tr>
        <w:trPr>
          <w:cantSplit/>
        </w:trPr>
        <w:tc>
          <w:tcPr>
            <w:tcW w:type="dxa" w:w="2476"/>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'Fraud' case label</w:t>
            </w:r>
          </w:p>
        </w:tc>
        <w:tc>
          <w:tcPr>
            <w:tcW w:type="dxa" w:w="8179"/>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7"/>
              </w:rPr>
              <w:t>Replace with customer dispute - renewal collection/invoice expectation. A disagreement about expected invoicing is not, by itself, evidence of an unauthorized transaction; fraud is not established on the reviewed record.</w:t>
            </w:r>
          </w:p>
        </w:tc>
      </w:tr>
      <w:tr>
        <w:trPr>
          <w:cantSplit/>
        </w:trPr>
        <w:tc>
          <w:tcPr>
            <w:tcW w:type="dxa" w:w="2476"/>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'Authorization is invalid'</w:t>
            </w:r>
          </w:p>
        </w:tc>
        <w:tc>
          <w:tcPr>
            <w:tcW w:type="dxa" w:w="8179"/>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7"/>
              </w:rPr>
              <w:t>Remove. Recurring-payment history, the matched renewal notice/policy reference, and no recorded cancellation support authorization on file at the debit. This is not a legal-validity finding.</w:t>
            </w:r>
          </w:p>
        </w:tc>
      </w:tr>
      <w:tr>
        <w:trPr>
          <w:cantSplit/>
        </w:trPr>
        <w:tc>
          <w:tcPr>
            <w:tcW w:type="dxa" w:w="2476"/>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Reimbursement promise</w:t>
            </w:r>
          </w:p>
        </w:tc>
        <w:tc>
          <w:tcPr>
            <w:tcW w:type="dxa" w:w="8179"/>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7"/>
              </w:rPr>
              <w:t>Remove. No reimbursement outcome or approval is recorded, and this customer-service response does not promise one.</w:t>
            </w:r>
          </w:p>
        </w:tc>
      </w:tr>
    </w:tbl>
    <w:p>
      <w:r>
        <w:br w:type="page"/>
      </w:r>
    </w:p>
    <w:p>
      <w:pPr>
        <w:keepNext/>
        <w:spacing w:before="140" w:after="60" w:line="240" w:lineRule="auto"/>
        <w:ind w:left="0"/>
      </w:pPr>
      <w:r>
        <w:rPr>
          <w:rFonts w:ascii="Arial" w:hAnsi="Arial" w:eastAsia="Arial"/>
          <w:b/>
          <w:color w:val="0E6B68"/>
          <w:sz w:val="20"/>
        </w:rPr>
        <w:t>3. Classification, roles, and transition record</w:t>
      </w:r>
    </w:p>
    <w:tbl>
      <w:tblPr>
        <w:tblW w:type="auto" w:w="0"/>
        <w:jc w:val="center"/>
        <w:tblLayout w:type="fixed"/>
        <w:tblLook w:firstColumn="1" w:firstRow="1" w:lastColumn="0" w:lastRow="0" w:noHBand="0" w:noVBand="1" w:val="04A0"/>
      </w:tblPr>
      <w:tblGrid>
        <w:gridCol w:w="5328"/>
        <w:gridCol w:w="5328"/>
      </w:tblGrid>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Customer-service classification</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Customer dispute - renewal collection/invoice expectation. The reviewed evidence does not substantiate an unauthorized transaction.</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Formal fraud boundary</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No formal fraud determination is made by Customer Service. Such a determination requires appropriate compliance or investigative authority and evidence beyond this classification; review boundary: Mikkel Radulescu.</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Payment-authorization boundary</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The record supports authorization on file at the debit date. Changing, suspending, or closing authorization belongs to Payment Operations / Vera Chidozie.</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Legacy classification</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Retain during the transition from the legacy dispute classification to the new taxonomy: customer dispute - recurring renewal collection/invoice expectation (no fraud conclusion).</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Final taxonomy classification</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Provisional plain-language mapping, pending Mikkel Radulescu's confirmation: customer disagreement about recurring renewal collection/invoice expectation. Same case meaning; no private code is recorded.</w:t>
            </w:r>
          </w:p>
        </w:tc>
      </w:tr>
      <w:tr>
        <w:trPr>
          <w:cantSplit/>
        </w:trPr>
        <w:tc>
          <w:tcPr>
            <w:tcW w:type="dxa" w:w="2476"/>
            <w:vAlign w:val="center"/>
            <w:tcMar>
              <w:top w:w="70" w:type="dxa"/>
              <w:start w:w="100" w:type="dxa"/>
              <w:bottom w:w="70" w:type="dxa"/>
              <w:end w:w="100" w:type="dxa"/>
            </w:tcMar>
            <w:tcBorders>
              <w:bottom w:val="single" w:sz="6" w:space="0" w:color="D7DEE3"/>
            </w:tcBorders>
            <w:shd w:fill="F4F6F7"/>
          </w:tcPr>
          <w:p>
            <w:pPr>
              <w:spacing w:before="0" w:after="0" w:line="247" w:lineRule="auto"/>
            </w:pPr>
            <w:r>
              <w:rPr>
                <w:rFonts w:ascii="Arial" w:hAnsi="Arial" w:eastAsia="Arial"/>
                <w:b/>
                <w:i w:val="0"/>
                <w:color w:val="173A5E"/>
                <w:sz w:val="17"/>
              </w:rPr>
              <w:t>Transition record / owner</w:t>
            </w:r>
          </w:p>
        </w:tc>
        <w:tc>
          <w:tcPr>
            <w:tcW w:type="dxa" w:w="8179"/>
            <w:vAlign w:val="center"/>
            <w:tcMar>
              <w:top w:w="70" w:type="dxa"/>
              <w:start w:w="100" w:type="dxa"/>
              <w:bottom w:w="70" w:type="dxa"/>
              <w:end w:w="100" w:type="dxa"/>
            </w:tcMar>
            <w:tcBorders>
              <w:bottom w:val="single" w:sz="6" w:space="0" w:color="D7DEE3"/>
            </w:tcBorders>
          </w:tcPr>
          <w:p>
            <w:pPr>
              <w:spacing w:before="0" w:after="0" w:line="247" w:lineRule="auto"/>
            </w:pPr>
            <w:r>
              <w:rPr>
                <w:rFonts w:ascii="Arial" w:hAnsi="Arial" w:eastAsia="Arial"/>
                <w:b w:val="0"/>
                <w:i w:val="0"/>
                <w:color w:val="1E2933"/>
                <w:sz w:val="18"/>
              </w:rPr>
              <w:t>Keep both labels, their same-meaning cross-reference, and the evidence basis in the case record. On confirmation, record the final taxonomy description and retain legacy history. Astrid Hutchins retains this corrected response; payment authority remains with Payment Operations.</w:t>
            </w:r>
          </w:p>
        </w:tc>
      </w:tr>
    </w:tbl>
    <w:p>
      <w:pPr>
        <w:keepNext/>
        <w:spacing w:before="140" w:after="60" w:line="240" w:lineRule="auto"/>
        <w:ind w:left="0"/>
      </w:pPr>
      <w:r>
        <w:rPr>
          <w:rFonts w:ascii="Arial" w:hAnsi="Arial" w:eastAsia="Arial"/>
          <w:b/>
          <w:color w:val="0E6B68"/>
          <w:sz w:val="20"/>
        </w:rPr>
        <w:t>4. Customer-facing passage</w:t>
      </w:r>
    </w:p>
    <w:tbl>
      <w:tblPr>
        <w:tblW w:type="auto" w:w="0"/>
        <w:jc w:val="center"/>
        <w:tblLook w:firstColumn="1" w:firstRow="1" w:lastColumn="0" w:lastRow="0" w:noHBand="0" w:noVBand="1" w:val="04A0"/>
      </w:tblPr>
      <w:tblGrid>
        <w:gridCol w:w="10656"/>
      </w:tblGrid>
      <w:tr>
        <w:trPr>
          <w:cantSplit/>
        </w:trPr>
        <w:tc>
          <w:tcPr>
            <w:tcW w:type="dxa" w:w="10656"/>
            <w:shd w:fill="EAF2F7"/>
            <w:tcMar>
              <w:top w:w="125" w:type="dxa"/>
              <w:start w:w="145" w:type="dxa"/>
              <w:bottom w:w="125" w:type="dxa"/>
              <w:end w:w="145" w:type="dxa"/>
            </w:tcMar>
            <w:tcBorders>
              <w:bottom w:val="single" w:sz="6" w:space="0" w:color="8AB5C5"/>
              <w:top w:val="single" w:sz="6" w:space="0" w:color="8AB5C5"/>
            </w:tcBorders>
          </w:tcPr>
          <w:p>
            <w:pPr>
              <w:spacing w:before="0" w:after="60" w:line="247" w:lineRule="auto"/>
            </w:pPr>
            <w:r>
              <w:rPr>
                <w:rFonts w:ascii="Arial" w:hAnsi="Arial" w:eastAsia="Arial"/>
                <w:b/>
                <w:i w:val="0"/>
                <w:color w:val="173A5E"/>
                <w:sz w:val="18"/>
              </w:rPr>
              <w:t>CUSTOMER-FACING PASSAGE</w:t>
            </w:r>
          </w:p>
          <w:p>
            <w:pPr>
              <w:spacing w:before="0" w:after="0" w:line="252" w:lineRule="auto"/>
            </w:pPr>
            <w:r>
              <w:rPr>
                <w:rFonts w:ascii="Arial" w:hAnsi="Arial" w:eastAsia="Arial"/>
                <w:b w:val="0"/>
                <w:i w:val="0"/>
                <w:color w:val="1E2933"/>
                <w:sz w:val="18"/>
              </w:rPr>
              <w:t>Thank you for explaining that you expected an invoice and did not realize the renewal premium would be collected automatically. Our review through 14 February 2025 shows recurring electronic payment for this policy, including a $1,240 withdrawal on 14 February 2024 and the disputed $1,410 withdrawal on 14 February 2025. The $170 (about 13.7%) increase matches the premium and policy reference in the 31 January 2025 renewal notice. The record reviewed does not establish that the withdrawal was unauthorized. Payment-authorization handling is separate; this response does not promise reimbursement.</w:t>
            </w:r>
          </w:p>
        </w:tc>
      </w:tr>
    </w:tbl>
    <w:p>
      <w:pPr>
        <w:keepNext/>
        <w:spacing w:before="140" w:after="60" w:line="240" w:lineRule="auto"/>
        <w:ind w:left="0"/>
      </w:pPr>
      <w:r>
        <w:rPr>
          <w:rFonts w:ascii="Arial" w:hAnsi="Arial" w:eastAsia="Arial"/>
          <w:b/>
          <w:color w:val="0E6B68"/>
          <w:sz w:val="20"/>
        </w:rPr>
        <w:t>5. Decision</w:t>
      </w:r>
    </w:p>
    <w:tbl>
      <w:tblPr>
        <w:tblW w:type="auto" w:w="0"/>
        <w:jc w:val="center"/>
        <w:tblLook w:firstColumn="1" w:firstRow="1" w:lastColumn="0" w:lastRow="0" w:noHBand="0" w:noVBand="1" w:val="04A0"/>
      </w:tblPr>
      <w:tblGrid>
        <w:gridCol w:w="10656"/>
      </w:tblGrid>
      <w:tr>
        <w:trPr>
          <w:cantSplit/>
        </w:trPr>
        <w:tc>
          <w:tcPr>
            <w:tcW w:type="dxa" w:w="10656"/>
            <w:shd w:fill="E8F4F1"/>
            <w:tcMar>
              <w:top w:w="115" w:type="dxa"/>
              <w:start w:w="145" w:type="dxa"/>
              <w:bottom w:w="115" w:type="dxa"/>
              <w:end w:w="145" w:type="dxa"/>
            </w:tcMar>
            <w:tcBorders>
              <w:bottom w:val="single" w:sz="6" w:space="0" w:color="0E6B68"/>
              <w:top w:val="single" w:sz="6" w:space="0" w:color="0E6B68"/>
            </w:tcBorders>
          </w:tcPr>
          <w:p>
            <w:pPr>
              <w:spacing w:before="0" w:after="60"/>
            </w:pPr>
            <w:r>
              <w:rPr>
                <w:rFonts w:ascii="Arial" w:hAnsi="Arial" w:eastAsia="Arial"/>
                <w:b/>
                <w:i w:val="0"/>
                <w:color w:val="0E6B68"/>
                <w:sz w:val="18"/>
              </w:rPr>
              <w:t>FINAL BOUNDED DECISION</w:t>
            </w:r>
          </w:p>
          <w:p>
            <w:pPr>
              <w:spacing w:before="0" w:after="0" w:line="252" w:lineRule="auto"/>
            </w:pPr>
            <w:r>
              <w:rPr>
                <w:rFonts w:ascii="Arial" w:hAnsi="Arial" w:eastAsia="Arial"/>
                <w:b/>
                <w:i w:val="0"/>
                <w:color w:val="1E2933"/>
                <w:sz w:val="18"/>
              </w:rPr>
              <w:t>Based solely on the record available through 14 February 2025, classify this as a customer dispute about renewal collection and invoice expectation, not as an established fraud matter. The reviewed evidence does not substantiate that the 14 February 2025 withdrawal was unauthorized and supports an authorization-on-file finding at the debit date; it does not determine fraud, legal authorization, payment disposition, or any change to the authorization.</w:t>
            </w:r>
          </w:p>
        </w:tc>
      </w:tr>
    </w:tbl>
    <w:sectPr w:rsidR="00FC693F" w:rsidRPr="0006063C" w:rsidSect="00034616">
      <w:footerReference w:type="default" r:id="rId9"/>
      <w:pgSz w:w="12240" w:h="15840"/>
      <w:pgMar w:top="749" w:right="792" w:bottom="720" w:left="792" w:header="317"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b w:val="0"/>
        <w:i w:val="0"/>
        <w:color w:val="5B6670"/>
        <w:sz w:val="15"/>
      </w:rPr>
      <w:t>Foxhollow Industries | Corrected case response | Evidence cut-off: 14 February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7" w:lineRule="auto"/>
    </w:pPr>
    <w:rPr>
      <w:rFonts w:ascii="Arial" w:hAnsi="Arial" w:eastAsia="Arial"/>
      <w:color w:val="1E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Case Response - Ravensmoor Freight</dc:title>
  <dc:subject>Premium withdrawal dispute</dc:subject>
  <dc:creator>Mikkel Wickramasinghe</dc:creator>
  <cp:keywords>customer service, premium, dispute, authorization, taxonomy</cp:keywords>
  <dc:description>generated by python-docx</dc:description>
  <cp:lastModifiedBy/>
  <cp:revision>1</cp:revision>
  <dcterms:created xsi:type="dcterms:W3CDTF">2013-12-23T23:15:00Z</dcterms:created>
  <dcterms:modified xsi:type="dcterms:W3CDTF">2013-12-23T23:15:00Z</dcterms:modified>
  <cp:category/>
</cp:coreProperties>
</file>