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rPr>
        <w:t>HARTSMERE SUPPLY</w:t>
      </w:r>
    </w:p>
    <w:p>
      <w:pPr>
        <w:pStyle w:val="Title"/>
        <w:jc w:val="center"/>
      </w:pPr>
      <w:r>
        <w:t>Revised Producer Profitability</w:t>
        <w:br/>
        <w:t>Engagement Scope &amp; Definitions Brief</w:t>
      </w:r>
    </w:p>
    <w:p>
      <w:pPr>
        <w:jc w:val="center"/>
      </w:pPr>
      <w:r>
        <w:t>For Jarek Ellingsen, Principal, and Ana Hutchins, Counsel  |  Foxhollow Press  |  15 July 2025</w:t>
      </w:r>
    </w:p>
    <w:p>
      <w:pPr>
        <w:spacing w:after="40" w:line="240" w:lineRule="auto"/>
      </w:pPr>
      <w:r>
        <w:t>STATUS: OPERATIVE SCOPE. This is a scoping and definitions document—not a completed profitability model, legal opinion, or approval of any January producer agreement.</w:t>
      </w:r>
    </w:p>
    <w:p>
      <w:pPr>
        <w:pStyle w:val="Heading1"/>
      </w:pPr>
      <w:r>
        <w:t>1. Decision question and boundaries</w:t>
      </w:r>
    </w:p>
    <w:p>
      <w:pPr>
        <w:spacing w:after="40" w:line="240" w:lineRule="auto"/>
      </w:pPr>
      <w:r>
        <w:t>The work will determine officer economics for the management decision Jarek selects: (a) whether to restructure producer compensation, (b) whether to close the Boise branch, or (c) a documented two-track assessment. “Profitable officer” is not a universal answer. The selected decision changes the primary metric, interpretation, and data required.</w:t>
      </w:r>
    </w:p>
    <w:p>
      <w:pPr>
        <w:spacing w:after="40" w:line="240" w:lineRule="auto"/>
      </w:pPr>
      <w:r>
        <w:t>The work will not issue one ranking that purports to answer both branch closure and compensation questions. It will produce separate metric views, bridges, exceptions, and decision support. This brief does not establish final officer profitability.</w:t>
      </w:r>
    </w:p>
    <w:p>
      <w:pPr>
        <w:pStyle w:val="Heading1"/>
      </w:pPr>
      <w:r>
        <w:t>2. Revision record</w:t>
      </w:r>
    </w:p>
    <w:tbl>
      <w:tblPr>
        <w:tblStyle w:val="TableGrid"/>
        <w:tblW w:type="auto" w:w="0"/>
        <w:jc w:val="center"/>
        <w:tblLook w:firstColumn="1" w:firstRow="1" w:lastColumn="0" w:lastRow="0" w:noHBand="0" w:noVBand="1" w:val="04A0"/>
      </w:tblPr>
      <w:tblGrid>
        <w:gridCol w:w="5429"/>
        <w:gridCol w:w="5429"/>
      </w:tblGrid>
      <w:tr>
        <w:tc>
          <w:tcPr>
            <w:tcW w:type="dxa" w:w="5429"/>
            <w:shd w:fill="D9EAF7"/>
          </w:tcPr>
          <w:p>
            <w:r>
              <w:rPr>
                <w:rFonts w:ascii="Aptos" w:hAnsi="Aptos"/>
                <w:sz w:val="14"/>
              </w:rPr>
              <w:t>Prior-draft issue / comment</w:t>
            </w:r>
          </w:p>
        </w:tc>
        <w:tc>
          <w:tcPr>
            <w:tcW w:type="dxa" w:w="5429"/>
            <w:shd w:fill="D9EAF7"/>
          </w:tcPr>
          <w:p>
            <w:r>
              <w:rPr>
                <w:rFonts w:ascii="Aptos" w:hAnsi="Aptos"/>
                <w:sz w:val="14"/>
              </w:rPr>
              <w:t>Revision made</w:t>
            </w:r>
          </w:p>
        </w:tc>
      </w:tr>
      <w:tr>
        <w:tc>
          <w:tcPr>
            <w:tcW w:type="dxa" w:w="5429"/>
          </w:tcPr>
          <w:p>
            <w:pPr>
              <w:spacing w:after="0" w:line="240" w:lineRule="auto"/>
            </w:pPr>
            <w:r>
              <w:rPr>
                <w:rFonts w:ascii="Aptos" w:hAnsi="Aptos"/>
                <w:sz w:val="14"/>
              </w:rPr>
              <w:t>Undefined profitable-officer list; Boise and pay collapsed</w:t>
            </w:r>
          </w:p>
        </w:tc>
        <w:tc>
          <w:tcPr>
            <w:tcW w:type="dxa" w:w="5429"/>
          </w:tcPr>
          <w:p>
            <w:pPr>
              <w:spacing w:after="0" w:line="240" w:lineRule="auto"/>
            </w:pPr>
            <w:r>
              <w:rPr>
                <w:rFonts w:ascii="Aptos" w:hAnsi="Aptos"/>
                <w:sz w:val="14"/>
              </w:rPr>
              <w:t>Decision-specific question; branch closure and compensation restructuring are separate; sponsor selects or approves two tracks.</w:t>
            </w:r>
          </w:p>
        </w:tc>
      </w:tr>
      <w:tr>
        <w:tc>
          <w:tcPr>
            <w:tcW w:type="dxa" w:w="5429"/>
          </w:tcPr>
          <w:p>
            <w:pPr>
              <w:spacing w:after="0" w:line="240" w:lineRule="auto"/>
            </w:pPr>
            <w:r>
              <w:rPr>
                <w:rFonts w:ascii="Aptos" w:hAnsi="Aptos"/>
                <w:sz w:val="14"/>
              </w:rPr>
              <w:t>Contribution treated as profitability</w:t>
            </w:r>
          </w:p>
        </w:tc>
        <w:tc>
          <w:tcPr>
            <w:tcW w:type="dxa" w:w="5429"/>
          </w:tcPr>
          <w:p>
            <w:pPr>
              <w:spacing w:after="0" w:line="240" w:lineRule="auto"/>
            </w:pPr>
            <w:r>
              <w:rPr>
                <w:rFonts w:ascii="Aptos" w:hAnsi="Aptos"/>
                <w:sz w:val="14"/>
              </w:rPr>
              <w:t>Three definitions with uses and limits; contribution excludes corporate overhead and is not enterprise net profit.</w:t>
            </w:r>
          </w:p>
        </w:tc>
      </w:tr>
      <w:tr>
        <w:tc>
          <w:tcPr>
            <w:tcW w:type="dxa" w:w="5429"/>
          </w:tcPr>
          <w:p>
            <w:pPr>
              <w:spacing w:after="0" w:line="240" w:lineRule="auto"/>
            </w:pPr>
            <w:r>
              <w:rPr>
                <w:rFonts w:ascii="Aptos" w:hAnsi="Aptos"/>
                <w:sz w:val="14"/>
              </w:rPr>
              <w:t>Lock allocation assumed available</w:t>
            </w:r>
          </w:p>
        </w:tc>
        <w:tc>
          <w:tcPr>
            <w:tcW w:type="dxa" w:w="5429"/>
          </w:tcPr>
          <w:p>
            <w:pPr>
              <w:spacing w:after="0" w:line="240" w:lineRule="auto"/>
            </w:pPr>
            <w:r>
              <w:rPr>
                <w:rFonts w:ascii="Aptos" w:hAnsi="Aptos"/>
                <w:sz w:val="14"/>
              </w:rPr>
              <w:t>Loan-level metric conditional on supportable allocation and tie-out; no fabricated allocation.</w:t>
            </w:r>
          </w:p>
        </w:tc>
      </w:tr>
      <w:tr>
        <w:tc>
          <w:tcPr>
            <w:tcW w:type="dxa" w:w="5429"/>
          </w:tcPr>
          <w:p>
            <w:pPr>
              <w:spacing w:after="0" w:line="240" w:lineRule="auto"/>
            </w:pPr>
            <w:r>
              <w:rPr>
                <w:rFonts w:ascii="Aptos" w:hAnsi="Aptos"/>
                <w:sz w:val="14"/>
              </w:rPr>
              <w:t>Material repurchase hidden</w:t>
            </w:r>
          </w:p>
        </w:tc>
        <w:tc>
          <w:tcPr>
            <w:tcW w:type="dxa" w:w="5429"/>
          </w:tcPr>
          <w:p>
            <w:pPr>
              <w:spacing w:after="0" w:line="240" w:lineRule="auto"/>
            </w:pPr>
            <w:r>
              <w:rPr>
                <w:rFonts w:ascii="Aptos" w:hAnsi="Aptos"/>
                <w:sz w:val="14"/>
              </w:rPr>
              <w:t>Recurring and all-in views show disputed case separately; never spread or normalized.</w:t>
            </w:r>
          </w:p>
        </w:tc>
      </w:tr>
      <w:tr>
        <w:tc>
          <w:tcPr>
            <w:tcW w:type="dxa" w:w="5429"/>
          </w:tcPr>
          <w:p>
            <w:pPr>
              <w:spacing w:after="0" w:line="240" w:lineRule="auto"/>
            </w:pPr>
            <w:r>
              <w:rPr>
                <w:rFonts w:ascii="Aptos" w:hAnsi="Aptos"/>
                <w:sz w:val="14"/>
              </w:rPr>
              <w:t>No population/data controls</w:t>
            </w:r>
          </w:p>
        </w:tc>
        <w:tc>
          <w:tcPr>
            <w:tcW w:type="dxa" w:w="5429"/>
          </w:tcPr>
          <w:p>
            <w:pPr>
              <w:spacing w:after="0" w:line="240" w:lineRule="auto"/>
            </w:pPr>
            <w:r>
              <w:rPr>
                <w:rFonts w:ascii="Aptos" w:hAnsi="Aptos"/>
                <w:sz w:val="14"/>
              </w:rPr>
              <w:t>Funded population, final-status, deduplication lineage, ID/status exceptions, shared credit, reversals, privacy and owners specified.</w:t>
            </w:r>
          </w:p>
        </w:tc>
      </w:tr>
      <w:tr>
        <w:tc>
          <w:tcPr>
            <w:tcW w:type="dxa" w:w="5429"/>
          </w:tcPr>
          <w:p>
            <w:pPr>
              <w:spacing w:after="0" w:line="240" w:lineRule="auto"/>
            </w:pPr>
            <w:r>
              <w:rPr>
                <w:rFonts w:ascii="Aptos" w:hAnsi="Aptos"/>
                <w:sz w:val="14"/>
              </w:rPr>
              <w:t>Policy over-implied</w:t>
            </w:r>
          </w:p>
        </w:tc>
        <w:tc>
          <w:tcPr>
            <w:tcW w:type="dxa" w:w="5429"/>
          </w:tcPr>
          <w:p>
            <w:pPr>
              <w:spacing w:after="0" w:line="240" w:lineRule="auto"/>
            </w:pPr>
            <w:r>
              <w:rPr>
                <w:rFonts w:ascii="Aptos" w:hAnsi="Aptos"/>
                <w:sz w:val="14"/>
              </w:rPr>
              <w:t>Supplied restriction and narrow unforeseen-settlement-cost exception stated; economics is not compliance approval.</w:t>
            </w:r>
          </w:p>
        </w:tc>
      </w:tr>
    </w:tbl>
    <w:p>
      <w:pPr>
        <w:pStyle w:val="Heading1"/>
      </w:pPr>
      <w:r>
        <w:t>3. Three defensible readings (report separately)</w:t>
      </w:r>
    </w:p>
    <w:tbl>
      <w:tblPr>
        <w:tblStyle w:val="TableGrid"/>
        <w:tblW w:type="auto" w:w="0"/>
        <w:jc w:val="center"/>
        <w:tblLook w:firstColumn="1" w:firstRow="1" w:lastColumn="0" w:lastRow="0" w:noHBand="0" w:noVBand="1" w:val="04A0"/>
      </w:tblPr>
      <w:tblGrid>
        <w:gridCol w:w="5429"/>
        <w:gridCol w:w="5429"/>
      </w:tblGrid>
      <w:tr>
        <w:tc>
          <w:tcPr>
            <w:tcW w:type="dxa" w:w="5429"/>
            <w:shd w:fill="D9EAF7"/>
          </w:tcPr>
          <w:p>
            <w:r>
              <w:rPr>
                <w:rFonts w:ascii="Aptos" w:hAnsi="Aptos"/>
                <w:sz w:val="14"/>
              </w:rPr>
              <w:t>Definition / formula</w:t>
            </w:r>
          </w:p>
        </w:tc>
        <w:tc>
          <w:tcPr>
            <w:tcW w:type="dxa" w:w="5429"/>
            <w:shd w:fill="D9EAF7"/>
          </w:tcPr>
          <w:p>
            <w:r>
              <w:rPr>
                <w:rFonts w:ascii="Aptos" w:hAnsi="Aptos"/>
                <w:sz w:val="14"/>
              </w:rPr>
              <w:t>Decision use and boundary</w:t>
            </w:r>
          </w:p>
        </w:tc>
      </w:tr>
      <w:tr>
        <w:tc>
          <w:tcPr>
            <w:tcW w:type="dxa" w:w="5429"/>
          </w:tcPr>
          <w:p>
            <w:pPr>
              <w:spacing w:after="0" w:line="240" w:lineRule="auto"/>
            </w:pPr>
            <w:r>
              <w:rPr>
                <w:rFonts w:ascii="Aptos" w:hAnsi="Aptos"/>
                <w:sz w:val="14"/>
              </w:rPr>
              <w:t>Contribution before corporate overhead = funded-loan revenue attributable to officer − direct officer compensation (base/commission/bonus and directly attributable employer costs) − directly attributable production expense (processing/underwriting, transaction/vendor and other identified direct costs). Corporate overhead is excluded.</w:t>
            </w:r>
          </w:p>
        </w:tc>
        <w:tc>
          <w:tcPr>
            <w:tcW w:type="dxa" w:w="5429"/>
          </w:tcPr>
          <w:p>
            <w:pPr>
              <w:spacing w:after="0" w:line="240" w:lineRule="auto"/>
            </w:pPr>
            <w:r>
              <w:rPr>
                <w:rFonts w:ascii="Aptos" w:hAnsi="Aptos"/>
                <w:sz w:val="14"/>
              </w:rPr>
              <w:t>Incremental/branch economics. Not enterprise net profit; fixed/allocated costs may remain after exit. Not an automatic compensation formula.</w:t>
            </w:r>
          </w:p>
        </w:tc>
      </w:tr>
      <w:tr>
        <w:tc>
          <w:tcPr>
            <w:tcW w:type="dxa" w:w="5429"/>
          </w:tcPr>
          <w:p>
            <w:pPr>
              <w:spacing w:after="0" w:line="240" w:lineRule="auto"/>
            </w:pPr>
            <w:r>
              <w:rPr>
                <w:rFonts w:ascii="Aptos" w:hAnsi="Aptos"/>
                <w:sz w:val="14"/>
              </w:rPr>
              <w:t>Loan-level net economics = contribution components + supportably attributable lock-desk hedge gain/(loss) − repurchase-reserve / expected-loss charge. Actual repurchase losses and recoveries are separately identified, not substituted for routine reserve expense.</w:t>
            </w:r>
          </w:p>
        </w:tc>
        <w:tc>
          <w:tcPr>
            <w:tcW w:type="dxa" w:w="5429"/>
          </w:tcPr>
          <w:p>
            <w:pPr>
              <w:spacing w:after="0" w:line="240" w:lineRule="auto"/>
            </w:pPr>
            <w:r>
              <w:rPr>
                <w:rFonts w:ascii="Aptos" w:hAnsi="Aptos"/>
                <w:sz w:val="14"/>
              </w:rPr>
              <w:t>Economic analysis that may inform compensation design only after evidence/counsel review. If hedge allocation cannot be supported and reconciled to desk totals, metric is unavailable or provisional—not exact per-loan profit.</w:t>
            </w:r>
          </w:p>
        </w:tc>
      </w:tr>
      <w:tr>
        <w:tc>
          <w:tcPr>
            <w:tcW w:type="dxa" w:w="5429"/>
          </w:tcPr>
          <w:p>
            <w:pPr>
              <w:spacing w:after="0" w:line="240" w:lineRule="auto"/>
            </w:pPr>
            <w:r>
              <w:rPr>
                <w:rFonts w:ascii="Aptos" w:hAnsi="Aptos"/>
                <w:sz w:val="14"/>
              </w:rPr>
              <w:t>Capacity economics = capacity-cost numerator ÷ period-adjusted producing FTE. FTE derives from roster/payroll employment and transfer dates, paid-time/FTE, leave and producing-time evidence; headcount is not automatically FTE.</w:t>
            </w:r>
          </w:p>
        </w:tc>
        <w:tc>
          <w:tcPr>
            <w:tcW w:type="dxa" w:w="5429"/>
          </w:tcPr>
          <w:p>
            <w:pPr>
              <w:spacing w:after="0" w:line="240" w:lineRule="auto"/>
            </w:pPr>
            <w:r>
              <w:rPr>
                <w:rFonts w:ascii="Aptos" w:hAnsi="Aptos"/>
                <w:sz w:val="14"/>
              </w:rPr>
              <w:t>Staffing, deployment and branch-capacity decisions. Paid nonproducing time remains in denominator. Capacity cost is not individual loan/officer profit and is not a direct compensation basis.</w:t>
            </w:r>
          </w:p>
        </w:tc>
      </w:tr>
    </w:tbl>
    <w:p>
      <w:pPr>
        <w:spacing w:after="40" w:line="240" w:lineRule="auto"/>
      </w:pPr>
      <w:r>
        <w:t>Output control: publish three readings separately with a sponsor-selected primary metric. Never silently blend them into one officer score.</w:t>
      </w:r>
    </w:p>
    <w:p>
      <w:pPr>
        <w:pStyle w:val="Heading1"/>
      </w:pPr>
      <w:r>
        <w:t>4. Period comparison basis</w:t>
      </w:r>
    </w:p>
    <w:p>
      <w:pPr>
        <w:spacing w:after="40" w:line="240" w:lineRule="auto"/>
      </w:pPr>
      <w:r>
        <w:t>Compare Period A (1 Jan–31 Mar 2025, Q1) with Period B (1 Apr–30 Jun 2025, Q2), assigned by funded or settlement date—not application creation date. Use the same population, controlled status, ownership/credit rule and metric definitions unless a documented bridge is approved.</w:t>
      </w:r>
    </w:p>
    <w:tbl>
      <w:tblPr>
        <w:tblStyle w:val="TableGrid"/>
        <w:tblW w:type="auto" w:w="0"/>
        <w:jc w:val="center"/>
        <w:tblLook w:firstColumn="1" w:firstRow="1" w:lastColumn="0" w:lastRow="0" w:noHBand="0" w:noVBand="1" w:val="04A0"/>
      </w:tblPr>
      <w:tblGrid>
        <w:gridCol w:w="2714"/>
        <w:gridCol w:w="2714"/>
        <w:gridCol w:w="2714"/>
        <w:gridCol w:w="2714"/>
      </w:tblGrid>
      <w:tr>
        <w:tc>
          <w:tcPr>
            <w:tcW w:type="dxa" w:w="2714"/>
            <w:shd w:fill="D9EAF7"/>
          </w:tcPr>
          <w:p>
            <w:r>
              <w:rPr>
                <w:rFonts w:ascii="Aptos" w:hAnsi="Aptos"/>
                <w:sz w:val="14"/>
              </w:rPr>
              <w:t>Packet summary</w:t>
            </w:r>
          </w:p>
        </w:tc>
        <w:tc>
          <w:tcPr>
            <w:tcW w:type="dxa" w:w="2714"/>
            <w:shd w:fill="D9EAF7"/>
          </w:tcPr>
          <w:p>
            <w:r>
              <w:rPr>
                <w:rFonts w:ascii="Aptos" w:hAnsi="Aptos"/>
                <w:sz w:val="14"/>
              </w:rPr>
              <w:t>Q1 2025</w:t>
            </w:r>
          </w:p>
        </w:tc>
        <w:tc>
          <w:tcPr>
            <w:tcW w:type="dxa" w:w="2714"/>
            <w:shd w:fill="D9EAF7"/>
          </w:tcPr>
          <w:p>
            <w:r>
              <w:rPr>
                <w:rFonts w:ascii="Aptos" w:hAnsi="Aptos"/>
                <w:sz w:val="14"/>
              </w:rPr>
              <w:t>Q2 2025</w:t>
            </w:r>
          </w:p>
        </w:tc>
        <w:tc>
          <w:tcPr>
            <w:tcW w:type="dxa" w:w="2714"/>
            <w:shd w:fill="D9EAF7"/>
          </w:tcPr>
          <w:p>
            <w:r>
              <w:rPr>
                <w:rFonts w:ascii="Aptos" w:hAnsi="Aptos"/>
                <w:sz w:val="14"/>
              </w:rPr>
              <w:t>Interpretation</w:t>
            </w:r>
          </w:p>
        </w:tc>
      </w:tr>
      <w:tr>
        <w:tc>
          <w:tcPr>
            <w:tcW w:type="dxa" w:w="2714"/>
          </w:tcPr>
          <w:p>
            <w:pPr>
              <w:spacing w:after="0" w:line="240" w:lineRule="auto"/>
            </w:pPr>
            <w:r>
              <w:rPr>
                <w:rFonts w:ascii="Aptos" w:hAnsi="Aptos"/>
                <w:sz w:val="14"/>
              </w:rPr>
              <w:t>Funded loans / volume</w:t>
            </w:r>
          </w:p>
        </w:tc>
        <w:tc>
          <w:tcPr>
            <w:tcW w:type="dxa" w:w="2714"/>
          </w:tcPr>
          <w:p>
            <w:pPr>
              <w:spacing w:after="0" w:line="240" w:lineRule="auto"/>
            </w:pPr>
            <w:r>
              <w:rPr>
                <w:rFonts w:ascii="Aptos" w:hAnsi="Aptos"/>
                <w:sz w:val="14"/>
              </w:rPr>
              <w:t>418 / $112.4m</w:t>
            </w:r>
          </w:p>
        </w:tc>
        <w:tc>
          <w:tcPr>
            <w:tcW w:type="dxa" w:w="2714"/>
          </w:tcPr>
          <w:p>
            <w:pPr>
              <w:spacing w:after="0" w:line="240" w:lineRule="auto"/>
            </w:pPr>
            <w:r>
              <w:rPr>
                <w:rFonts w:ascii="Aptos" w:hAnsi="Aptos"/>
                <w:sz w:val="14"/>
              </w:rPr>
              <w:t>463 / $128.7m</w:t>
            </w:r>
          </w:p>
        </w:tc>
        <w:tc>
          <w:tcPr>
            <w:tcW w:type="dxa" w:w="2714"/>
          </w:tcPr>
          <w:p>
            <w:pPr>
              <w:spacing w:after="0" w:line="240" w:lineRule="auto"/>
            </w:pPr>
            <w:r>
              <w:rPr>
                <w:rFonts w:ascii="Aptos" w:hAnsi="Aptos"/>
                <w:sz w:val="14"/>
              </w:rPr>
              <w:t>+10.8% loans; +14.5% volume</w:t>
            </w:r>
          </w:p>
        </w:tc>
      </w:tr>
      <w:tr>
        <w:tc>
          <w:tcPr>
            <w:tcW w:type="dxa" w:w="2714"/>
          </w:tcPr>
          <w:p>
            <w:pPr>
              <w:spacing w:after="0" w:line="240" w:lineRule="auto"/>
            </w:pPr>
            <w:r>
              <w:rPr>
                <w:rFonts w:ascii="Aptos" w:hAnsi="Aptos"/>
                <w:sz w:val="14"/>
              </w:rPr>
              <w:t>Revenue / direct costs</w:t>
            </w:r>
          </w:p>
        </w:tc>
        <w:tc>
          <w:tcPr>
            <w:tcW w:type="dxa" w:w="2714"/>
          </w:tcPr>
          <w:p>
            <w:pPr>
              <w:spacing w:after="0" w:line="240" w:lineRule="auto"/>
            </w:pPr>
            <w:r>
              <w:rPr>
                <w:rFonts w:ascii="Aptos" w:hAnsi="Aptos"/>
                <w:sz w:val="14"/>
              </w:rPr>
              <w:t>$1.742m / $0.286m</w:t>
            </w:r>
          </w:p>
        </w:tc>
        <w:tc>
          <w:tcPr>
            <w:tcW w:type="dxa" w:w="2714"/>
          </w:tcPr>
          <w:p>
            <w:pPr>
              <w:spacing w:after="0" w:line="240" w:lineRule="auto"/>
            </w:pPr>
            <w:r>
              <w:rPr>
                <w:rFonts w:ascii="Aptos" w:hAnsi="Aptos"/>
                <w:sz w:val="14"/>
              </w:rPr>
              <w:t>$1.963m / $0.311m</w:t>
            </w:r>
          </w:p>
        </w:tc>
        <w:tc>
          <w:tcPr>
            <w:tcW w:type="dxa" w:w="2714"/>
          </w:tcPr>
          <w:p>
            <w:pPr>
              <w:spacing w:after="0" w:line="240" w:lineRule="auto"/>
            </w:pPr>
            <w:r>
              <w:rPr>
                <w:rFonts w:ascii="Aptos" w:hAnsi="Aptos"/>
                <w:sz w:val="14"/>
              </w:rPr>
              <w:t>Revenue +12.7%; direct cost +8.7%</w:t>
            </w:r>
          </w:p>
        </w:tc>
      </w:tr>
      <w:tr>
        <w:tc>
          <w:tcPr>
            <w:tcW w:type="dxa" w:w="2714"/>
          </w:tcPr>
          <w:p>
            <w:pPr>
              <w:spacing w:after="0" w:line="240" w:lineRule="auto"/>
            </w:pPr>
            <w:r>
              <w:rPr>
                <w:rFonts w:ascii="Aptos" w:hAnsi="Aptos"/>
                <w:sz w:val="14"/>
              </w:rPr>
              <w:t>Compensation / routine reserve</w:t>
            </w:r>
          </w:p>
        </w:tc>
        <w:tc>
          <w:tcPr>
            <w:tcW w:type="dxa" w:w="2714"/>
          </w:tcPr>
          <w:p>
            <w:pPr>
              <w:spacing w:after="0" w:line="240" w:lineRule="auto"/>
            </w:pPr>
            <w:r>
              <w:rPr>
                <w:rFonts w:ascii="Aptos" w:hAnsi="Aptos"/>
                <w:sz w:val="14"/>
              </w:rPr>
              <w:t>$0.842m / $0.091m</w:t>
            </w:r>
          </w:p>
        </w:tc>
        <w:tc>
          <w:tcPr>
            <w:tcW w:type="dxa" w:w="2714"/>
          </w:tcPr>
          <w:p>
            <w:pPr>
              <w:spacing w:after="0" w:line="240" w:lineRule="auto"/>
            </w:pPr>
            <w:r>
              <w:rPr>
                <w:rFonts w:ascii="Aptos" w:hAnsi="Aptos"/>
                <w:sz w:val="14"/>
              </w:rPr>
              <w:t>$0.904m / $0.104m</w:t>
            </w:r>
          </w:p>
        </w:tc>
        <w:tc>
          <w:tcPr>
            <w:tcW w:type="dxa" w:w="2714"/>
          </w:tcPr>
          <w:p>
            <w:pPr>
              <w:spacing w:after="0" w:line="240" w:lineRule="auto"/>
            </w:pPr>
            <w:r>
              <w:rPr>
                <w:rFonts w:ascii="Aptos" w:hAnsi="Aptos"/>
                <w:sz w:val="14"/>
              </w:rPr>
              <w:t>Comp +7.4%; reserve +14.3%</w:t>
            </w:r>
          </w:p>
        </w:tc>
      </w:tr>
      <w:tr>
        <w:tc>
          <w:tcPr>
            <w:tcW w:type="dxa" w:w="2714"/>
          </w:tcPr>
          <w:p>
            <w:pPr>
              <w:spacing w:after="0" w:line="240" w:lineRule="auto"/>
            </w:pPr>
            <w:r>
              <w:rPr>
                <w:rFonts w:ascii="Aptos" w:hAnsi="Aptos"/>
                <w:sz w:val="14"/>
              </w:rPr>
              <w:t>Hedge / disputed repurchase</w:t>
            </w:r>
          </w:p>
        </w:tc>
        <w:tc>
          <w:tcPr>
            <w:tcW w:type="dxa" w:w="2714"/>
          </w:tcPr>
          <w:p>
            <w:pPr>
              <w:spacing w:after="0" w:line="240" w:lineRule="auto"/>
            </w:pPr>
            <w:r>
              <w:rPr>
                <w:rFonts w:ascii="Aptos" w:hAnsi="Aptos"/>
                <w:sz w:val="14"/>
              </w:rPr>
              <w:t>($0.118m); $0.210m disputed in $0.228m total</w:t>
            </w:r>
          </w:p>
        </w:tc>
        <w:tc>
          <w:tcPr>
            <w:tcW w:type="dxa" w:w="2714"/>
          </w:tcPr>
          <w:p>
            <w:pPr>
              <w:spacing w:after="0" w:line="240" w:lineRule="auto"/>
            </w:pPr>
            <w:r>
              <w:rPr>
                <w:rFonts w:ascii="Aptos" w:hAnsi="Aptos"/>
                <w:sz w:val="14"/>
              </w:rPr>
              <w:t>($0.076m); $0.032m total</w:t>
            </w:r>
          </w:p>
        </w:tc>
        <w:tc>
          <w:tcPr>
            <w:tcW w:type="dxa" w:w="2714"/>
          </w:tcPr>
          <w:p>
            <w:pPr>
              <w:spacing w:after="0" w:line="240" w:lineRule="auto"/>
            </w:pPr>
            <w:r>
              <w:rPr>
                <w:rFonts w:ascii="Aptos" w:hAnsi="Aptos"/>
                <w:sz w:val="14"/>
              </w:rPr>
              <w:t>Hedge less negative; disputed case can reverse result</w:t>
            </w:r>
          </w:p>
        </w:tc>
      </w:tr>
      <w:tr>
        <w:tc>
          <w:tcPr>
            <w:tcW w:type="dxa" w:w="2714"/>
          </w:tcPr>
          <w:p>
            <w:pPr>
              <w:spacing w:after="0" w:line="240" w:lineRule="auto"/>
            </w:pPr>
            <w:r>
              <w:rPr>
                <w:rFonts w:ascii="Aptos" w:hAnsi="Aptos"/>
                <w:sz w:val="14"/>
              </w:rPr>
              <w:t>Producing FTE</w:t>
            </w:r>
          </w:p>
        </w:tc>
        <w:tc>
          <w:tcPr>
            <w:tcW w:type="dxa" w:w="2714"/>
          </w:tcPr>
          <w:p>
            <w:pPr>
              <w:spacing w:after="0" w:line="240" w:lineRule="auto"/>
            </w:pPr>
            <w:r>
              <w:rPr>
                <w:rFonts w:ascii="Aptos" w:hAnsi="Aptos"/>
                <w:sz w:val="14"/>
              </w:rPr>
              <w:t>29.5</w:t>
            </w:r>
          </w:p>
        </w:tc>
        <w:tc>
          <w:tcPr>
            <w:tcW w:type="dxa" w:w="2714"/>
          </w:tcPr>
          <w:p>
            <w:pPr>
              <w:spacing w:after="0" w:line="240" w:lineRule="auto"/>
            </w:pPr>
            <w:r>
              <w:rPr>
                <w:rFonts w:ascii="Aptos" w:hAnsi="Aptos"/>
                <w:sz w:val="14"/>
              </w:rPr>
              <w:t>31.0</w:t>
            </w:r>
          </w:p>
        </w:tc>
        <w:tc>
          <w:tcPr>
            <w:tcW w:type="dxa" w:w="2714"/>
          </w:tcPr>
          <w:p>
            <w:pPr>
              <w:spacing w:after="0" w:line="240" w:lineRule="auto"/>
            </w:pPr>
            <w:r>
              <w:rPr>
                <w:rFonts w:ascii="Aptos" w:hAnsi="Aptos"/>
                <w:sz w:val="14"/>
              </w:rPr>
              <w:t>+1.5 (+5.1%); April transfer bridge needed</w:t>
            </w:r>
          </w:p>
        </w:tc>
      </w:tr>
    </w:tbl>
    <w:p>
      <w:pPr>
        <w:spacing w:after="40" w:line="240" w:lineRule="auto"/>
      </w:pPr>
      <w:r>
        <w:t>Materiality: flag changes ≥10% or ≥$25,000, plus smaller decision-critical changes (repurchase or population/definition break). Explain volume, revenue/margin, direct cost, hedge, reserve/repurchase and capacity drivers without claiming causation. Migration/status mapping, April staffing transfer and accounting discontinuity require a bridge.</w:t>
      </w:r>
    </w:p>
    <w:p>
      <w:pPr>
        <w:pStyle w:val="Heading1"/>
      </w:pPr>
      <w:r>
        <w:t>5. Authorized population and controls</w:t>
      </w:r>
    </w:p>
    <w:p>
      <w:pPr>
        <w:pStyle w:val="ListBullet"/>
        <w:spacing w:after="0" w:line="240" w:lineRule="auto"/>
        <w:ind w:left="259"/>
      </w:pPr>
      <w:r>
        <w:t>Base population is one unique economic loan whose final valid status is funded or closed-and-funded and whose funded/settlement date falls in Q1 or Q2; exclude application-only records.</w:t>
      </w:r>
    </w:p>
    <w:p>
      <w:pPr>
        <w:pStyle w:val="ListBullet"/>
        <w:spacing w:after="0" w:line="240" w:lineRule="auto"/>
        <w:ind w:left="259"/>
      </w:pPr>
      <w:r>
        <w:t>Exclude test/training, withdrawn, denied, cancelled and other nonfunded records. A later reversal/rescission/post-funding cancellation remains only if final economic status is funded; otherwise show it in a bridge.</w:t>
      </w:r>
    </w:p>
    <w:p>
      <w:pPr>
        <w:pStyle w:val="ListBullet"/>
        <w:spacing w:after="0" w:line="240" w:lineRule="auto"/>
        <w:ind w:left="259"/>
      </w:pPr>
      <w:r>
        <w:t>Normalize inconsistent status spelling/case to a controlled analytical set before inclusion decisions.</w:t>
      </w:r>
    </w:p>
    <w:p>
      <w:pPr>
        <w:pStyle w:val="ListBullet"/>
        <w:spacing w:after="0" w:line="240" w:lineRule="auto"/>
        <w:ind w:left="259"/>
      </w:pPr>
      <w:r>
        <w:t>Deduplicate migration rows by stable loan/business key plus version/update and final-status rule; retain retained/excluded source-row IDs in an audit lineage log.</w:t>
      </w:r>
    </w:p>
    <w:p>
      <w:pPr>
        <w:pStyle w:val="ListBullet"/>
        <w:spacing w:after="0" w:line="240" w:lineRule="auto"/>
        <w:ind w:left="259"/>
      </w:pPr>
      <w:r>
        <w:t>Malformed/missing officer IDs go to reconciliation; unresolved identity is an unassigned bucket or quantified exclusion, never attribution to a likely officer.</w:t>
      </w:r>
    </w:p>
    <w:p>
      <w:pPr>
        <w:pStyle w:val="ListBullet"/>
        <w:spacing w:after="0" w:line="240" w:lineRule="auto"/>
        <w:ind w:left="259"/>
      </w:pPr>
      <w:r>
        <w:t>Shared/transferred credit uses explicit percentages/role rule summing to no more than loan total. Refunds, reversals, pricing corrections and post-close adjustments attach to the loan and economic period or a documented bridge.</w:t>
      </w:r>
    </w:p>
    <w:p>
      <w:pPr>
        <w:pStyle w:val="Heading1"/>
      </w:pPr>
      <w:r>
        <w:t>6. Data pull and model-build authorization</w:t>
      </w:r>
    </w:p>
    <w:tbl>
      <w:tblPr>
        <w:tblStyle w:val="TableGrid"/>
        <w:tblW w:type="auto" w:w="0"/>
        <w:jc w:val="center"/>
        <w:tblLook w:firstColumn="1" w:firstRow="1" w:lastColumn="0" w:lastRow="0" w:noHBand="0" w:noVBand="1" w:val="04A0"/>
      </w:tblPr>
      <w:tblGrid>
        <w:gridCol w:w="5429"/>
        <w:gridCol w:w="5429"/>
      </w:tblGrid>
      <w:tr>
        <w:tc>
          <w:tcPr>
            <w:tcW w:type="dxa" w:w="5429"/>
            <w:shd w:fill="D9EAF7"/>
          </w:tcPr>
          <w:p>
            <w:r>
              <w:rPr>
                <w:rFonts w:ascii="Aptos" w:hAnsi="Aptos"/>
                <w:sz w:val="14"/>
              </w:rPr>
              <w:t>Status / owner</w:t>
            </w:r>
          </w:p>
        </w:tc>
        <w:tc>
          <w:tcPr>
            <w:tcW w:type="dxa" w:w="5429"/>
            <w:shd w:fill="D9EAF7"/>
          </w:tcPr>
          <w:p>
            <w:r>
              <w:rPr>
                <w:rFonts w:ascii="Aptos" w:hAnsi="Aptos"/>
                <w:sz w:val="14"/>
              </w:rPr>
              <w:t>Authorized action and evidence condition</w:t>
            </w:r>
          </w:p>
        </w:tc>
      </w:tr>
      <w:tr>
        <w:tc>
          <w:tcPr>
            <w:tcW w:type="dxa" w:w="5429"/>
          </w:tcPr>
          <w:p>
            <w:pPr>
              <w:spacing w:after="0" w:line="240" w:lineRule="auto"/>
            </w:pPr>
            <w:r>
              <w:rPr>
                <w:rFonts w:ascii="Aptos" w:hAnsi="Aptos"/>
                <w:sz w:val="14"/>
              </w:rPr>
              <w:t>NOW — Mina Rao / Data Ops</w:t>
            </w:r>
          </w:p>
        </w:tc>
        <w:tc>
          <w:tcPr>
            <w:tcW w:type="dxa" w:w="5429"/>
          </w:tcPr>
          <w:p>
            <w:pPr>
              <w:spacing w:after="0" w:line="240" w:lineRule="auto"/>
            </w:pPr>
            <w:r>
              <w:rPr>
                <w:rFonts w:ascii="Aptos" w:hAnsi="Aptos"/>
                <w:sz w:val="14"/>
              </w:rPr>
              <w:t>Authorize common-core extraction/reconciliation: stable loan key/source row/version; funded and settlement dates; branch/officer; status; funded amount; revenue/margin; shared credit; adjustments. Apply privacy filter before transfer.</w:t>
            </w:r>
          </w:p>
        </w:tc>
      </w:tr>
      <w:tr>
        <w:tc>
          <w:tcPr>
            <w:tcW w:type="dxa" w:w="5429"/>
          </w:tcPr>
          <w:p>
            <w:pPr>
              <w:spacing w:after="0" w:line="240" w:lineRule="auto"/>
            </w:pPr>
            <w:r>
              <w:rPr>
                <w:rFonts w:ascii="Aptos" w:hAnsi="Aptos"/>
                <w:sz w:val="14"/>
              </w:rPr>
              <w:t>CONDITIONAL — Lena Ortiz / Payroll + Jarek</w:t>
            </w:r>
          </w:p>
        </w:tc>
        <w:tc>
          <w:tcPr>
            <w:tcW w:type="dxa" w:w="5429"/>
          </w:tcPr>
          <w:p>
            <w:pPr>
              <w:spacing w:after="0" w:line="240" w:lineRule="auto"/>
            </w:pPr>
            <w:r>
              <w:rPr>
                <w:rFonts w:ascii="Aptos" w:hAnsi="Aptos"/>
                <w:sz w:val="14"/>
              </w:rPr>
              <w:t>Pull compensation and direct production-cost fields; roster/employment/transfer dates; paid hours/FTE, leave, producing status/time, branch and capacity costs. Confirm close and April bridge.</w:t>
            </w:r>
          </w:p>
        </w:tc>
      </w:tr>
      <w:tr>
        <w:tc>
          <w:tcPr>
            <w:tcW w:type="dxa" w:w="5429"/>
          </w:tcPr>
          <w:p>
            <w:pPr>
              <w:spacing w:after="0" w:line="240" w:lineRule="auto"/>
            </w:pPr>
            <w:r>
              <w:rPr>
                <w:rFonts w:ascii="Aptos" w:hAnsi="Aptos"/>
                <w:sz w:val="14"/>
              </w:rPr>
              <w:t>HOLD — Tom Baird / Lock Desk</w:t>
            </w:r>
          </w:p>
        </w:tc>
        <w:tc>
          <w:tcPr>
            <w:tcW w:type="dxa" w:w="5429"/>
          </w:tcPr>
          <w:p>
            <w:pPr>
              <w:spacing w:after="0" w:line="240" w:lineRule="auto"/>
            </w:pPr>
            <w:r>
              <w:rPr>
                <w:rFonts w:ascii="Aptos" w:hAnsi="Aptos"/>
                <w:sz w:val="14"/>
              </w:rPr>
              <w:t>Loan-level metric waits for hedge amounts, allocation keys/method, lock IDs and Q1/Q2 control totals to reconcile. Aggregate desk result may be shown separately; never invent equal/volume splits.</w:t>
            </w:r>
          </w:p>
        </w:tc>
      </w:tr>
      <w:tr>
        <w:tc>
          <w:tcPr>
            <w:tcW w:type="dxa" w:w="5429"/>
          </w:tcPr>
          <w:p>
            <w:pPr>
              <w:spacing w:after="0" w:line="240" w:lineRule="auto"/>
            </w:pPr>
            <w:r>
              <w:rPr>
                <w:rFonts w:ascii="Aptos" w:hAnsi="Aptos"/>
                <w:sz w:val="14"/>
              </w:rPr>
              <w:t>HOLD — Priya Sen + Ana Hutchins</w:t>
            </w:r>
          </w:p>
        </w:tc>
        <w:tc>
          <w:tcPr>
            <w:tcW w:type="dxa" w:w="5429"/>
          </w:tcPr>
          <w:p>
            <w:pPr>
              <w:spacing w:after="0" w:line="240" w:lineRule="auto"/>
            </w:pPr>
            <w:r>
              <w:rPr>
                <w:rFonts w:ascii="Aptos" w:hAnsi="Aptos"/>
                <w:sz w:val="14"/>
              </w:rPr>
              <w:t>Repurchase treatment waits for case file, disputed status, claim, reserve/release, recovery and attribution; counsel sign-off before compensation use.</w:t>
            </w:r>
          </w:p>
        </w:tc>
      </w:tr>
      <w:tr>
        <w:tc>
          <w:tcPr>
            <w:tcW w:type="dxa" w:w="5429"/>
          </w:tcPr>
          <w:p>
            <w:pPr>
              <w:spacing w:after="0" w:line="240" w:lineRule="auto"/>
            </w:pPr>
            <w:r>
              <w:rPr>
                <w:rFonts w:ascii="Aptos" w:hAnsi="Aptos"/>
                <w:sz w:val="14"/>
              </w:rPr>
              <w:t>GATE — Jarek Ellingsen</w:t>
            </w:r>
          </w:p>
        </w:tc>
        <w:tc>
          <w:tcPr>
            <w:tcW w:type="dxa" w:w="5429"/>
          </w:tcPr>
          <w:p>
            <w:pPr>
              <w:spacing w:after="0" w:line="240" w:lineRule="auto"/>
            </w:pPr>
            <w:r>
              <w:rPr>
                <w:rFonts w:ascii="Aptos" w:hAnsi="Aptos"/>
                <w:sz w:val="14"/>
              </w:rPr>
              <w:t>Select branch closure vs compensation restructuring (or approve two-track). Publish decision-dependent rankings only after selection and evidence gates.</w:t>
            </w:r>
          </w:p>
        </w:tc>
      </w:tr>
    </w:tbl>
    <w:p>
      <w:pPr>
        <w:spacing w:after="40" w:line="240" w:lineRule="auto"/>
      </w:pPr>
      <w:r>
        <w:t>Sources and timing: LOS/Data Ops as of 30 Jun 2025 with migration history; payroll/roster at Q1/Q2 close; lock-desk final P&amp;L and allocation support due 8 Aug; reserve/repurchase ledger through 30 Jun. Extraction approval does not authorize a blocked metric.</w:t>
      </w:r>
    </w:p>
    <w:p>
      <w:pPr>
        <w:pStyle w:val="Heading1"/>
      </w:pPr>
      <w:r>
        <w:t>7. Exceptions, privacy and compliance boundary</w:t>
      </w:r>
    </w:p>
    <w:p>
      <w:pPr>
        <w:spacing w:after="40" w:line="240" w:lineRule="auto"/>
      </w:pPr>
      <w:r>
        <w:t>Disputed repurchase RP-25-07 / loan key HM-21404 is rare and individually material; inclusion can reverse an officer result. Report recurring operating economics excluding the disputed actual loss and an all-in view including it, with amount visible. Do not normalize, spread across unrelated loans/officers, or treat it as routine reserve. Priya Sen owns evidence; Ana Hutchins/counsel reviews before compensation use, before January issuance.</w:t>
      </w:r>
    </w:p>
    <w:p>
      <w:pPr>
        <w:spacing w:after="40" w:line="240" w:lineRule="auto"/>
      </w:pPr>
      <w:r>
        <w:t>Request only stable synthetic loan keys and necessary economics. Exclude borrower names, contacts, addresses, government identifiers, income, credit data and other unnecessary sensitive fields.</w:t>
      </w:r>
    </w:p>
    <w:p>
      <w:pPr>
        <w:spacing w:after="40" w:line="240" w:lineRule="auto"/>
      </w:pPr>
      <w:r>
        <w:t>Supplied policy: compensation may not be based on loan terms or conditions, including interest rate, rate spread, loan amount or a proxy. The unforeseen settlement-cost exception applies only to a documented, transaction-specific cost not reasonably foreseeable when the arrangement was set, supported by contemporaneous records, and reviewed/approved under documented process. It is not authority to charge hedge losses, reserves, repurchases, ordinary errors or overall unprofitability to an officer. Profitability analysis alone does not prove a formula or reduction compliant. Conclusions are limited to supplied policy/jurisdiction; no broader clearance is claimed.</w:t>
      </w:r>
    </w:p>
    <w:p>
      <w:pPr>
        <w:pStyle w:val="Heading1"/>
      </w:pPr>
      <w:r>
        <w:t>8. Deliverables and close-out status</w:t>
      </w:r>
    </w:p>
    <w:p>
      <w:pPr>
        <w:pStyle w:val="ListBullet"/>
        <w:spacing w:after="0" w:line="240" w:lineRule="auto"/>
        <w:ind w:left="259"/>
      </w:pPr>
      <w:r>
        <w:t>Reconciled common-core population and exception log: duplicate lineage, unassigned IDs, status map, shared-credit control and adjustment bridge.</w:t>
      </w:r>
    </w:p>
    <w:p>
      <w:pPr>
        <w:pStyle w:val="ListBullet"/>
        <w:spacing w:after="0" w:line="240" w:lineRule="auto"/>
        <w:ind w:left="259"/>
      </w:pPr>
      <w:r>
        <w:t>Separate contribution, hedge-and-reserve loan economics (if unblocked), and producing-FTE capacity views for Q1/Q2, with driver bridge and materiality flags.</w:t>
      </w:r>
    </w:p>
    <w:p>
      <w:pPr>
        <w:pStyle w:val="ListBullet"/>
        <w:spacing w:after="0" w:line="240" w:lineRule="auto"/>
        <w:ind w:left="259"/>
      </w:pPr>
      <w:r>
        <w:t>Recurring-versus-all-in repurchase sensitivity and decision memo keyed to Jarek’s selected objective; no final compensation approval.</w:t>
      </w:r>
    </w:p>
    <w:p>
      <w:pPr>
        <w:spacing w:after="40" w:line="240" w:lineRule="auto"/>
      </w:pPr>
      <w:r>
        <w:t>CURRENT DECISION: common-core pull and reconciliation are AUTHORIZED NOW. Metric-specific model construction is CONDITIONAL/HOLD as stated. Scope closes when Jarek selects the track, Tom supplies supportable hedge evidence (or the metric is labeled unavailable/provisional), and Priya/Ana resolve the disputed repurchase for decision use.</w:t>
      </w:r>
    </w:p>
    <w:sectPr w:rsidR="00FC693F" w:rsidRPr="0006063C" w:rsidSect="00034616">
      <w:pgSz w:w="12240" w:h="15840"/>
      <w:pgMar w:top="576" w:right="691" w:bottom="576"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