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7365D"/>
          <w:sz w:val="36"/>
        </w:rPr>
        <w:t>CALDERWOOD BANCORP</w:t>
      </w:r>
    </w:p>
    <w:p>
      <w:pPr>
        <w:spacing w:after="200"/>
      </w:pPr>
      <w:r>
        <w:rPr>
          <w:rFonts w:ascii="Aptos" w:hAnsi="Aptos"/>
          <w:b/>
          <w:color w:val="425466"/>
          <w:sz w:val="22"/>
        </w:rPr>
        <w:t>Management’s Discussion and Analysis — Results of Operations and Net Interest Margin</w:t>
      </w:r>
    </w:p>
    <w:p>
      <w:pPr>
        <w:spacing w:after="200"/>
      </w:pPr>
      <w:r>
        <w:rPr>
          <w:b/>
        </w:rPr>
        <w:t xml:space="preserve">Years ended December 31, 2025 and 2024. </w:t>
      </w:r>
      <w:r>
        <w:t>Unless otherwise indicated, dollar amounts are in thousands; percentage changes are based on the prior period, and margin changes are expressed in percentage points.</w:t>
      </w:r>
    </w:p>
    <w:p>
      <w:pPr>
        <w:pStyle w:val="Heading1"/>
      </w:pPr>
      <w:r>
        <w:rPr>
          <w:rFonts w:ascii="Aptos Display" w:hAnsi="Aptos Display"/>
          <w:color w:val="17365D"/>
        </w:rPr>
        <w:t>Overview</w:t>
      </w:r>
    </w:p>
    <w:p>
      <w:pPr>
        <w:pStyle w:val="BodyText"/>
        <w:spacing w:after="120" w:line="259" w:lineRule="auto"/>
      </w:pPr>
      <w:r>
        <w:t>For the year ended December 31, 2025, Calderwood reported net income of $6,830, compared with $15,200 for the year ended December 31, 2024. The $-8,370 decrease principally reflected lower net interest income, a higher provision for credit losses and higher noninterest expense, partly offset by higher noninterest income and lower income tax expense. The following discussion distinguishes reported statement amounts from calculated comparative metrics and from the management context recorded in the supporting interest-detail schedule.</w:t>
      </w:r>
    </w:p>
    <w:p>
      <w:pPr>
        <w:pStyle w:val="Heading1"/>
      </w:pPr>
      <w:r>
        <w:rPr>
          <w:rFonts w:ascii="Aptos Display" w:hAnsi="Aptos Display"/>
          <w:color w:val="17365D"/>
        </w:rPr>
        <w:t>Results of Operations</w:t>
      </w:r>
    </w:p>
    <w:p>
      <w:pPr>
        <w:pStyle w:val="BodyText"/>
        <w:spacing w:after="120" w:line="259" w:lineRule="auto"/>
      </w:pPr>
      <w:r>
        <w:t>Reported interest income was $89,760 in 2025, an increase of $7,360, or 8.9%, from $82,400 in 2024. Reported interest expense was $41,840 in 2025, an increase of $13,240, or 46.3%, from $28,600. Because interest expense increased more than interest income, reported net interest income—interest income less interest expense—was $47,920 in 2025, down $5,880, or 10.9%, from $53,800 in 2024.</w:t>
      </w:r>
    </w:p>
    <w:p>
      <w:pPr>
        <w:pStyle w:val="BodyText"/>
        <w:spacing w:after="120" w:line="259" w:lineRule="auto"/>
      </w:pPr>
      <w:r>
        <w:t>Reported provision for credit losses was $4,600 in 2025, compared with $2,100 in 2024, an increase of $2,500. Reported noninterest income increased $2,210 to $10,960 in 2025 from $8,750 in 2024. Reported noninterest expense increased $4,750 to $45,400 in 2025 from $40,650 in 2024. Income before income taxes was $8,880 in 2025, compared with $19,800 in 2024; income tax expense declined to $2,050 from $4,600.</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556"/>
            <w:shd w:fill="17365D"/>
            <w:vAlign w:val="center"/>
            <w:tcMar>
              <w:top w:w="80" w:type="dxa"/>
              <w:start w:w="100" w:type="dxa"/>
              <w:bottom w:w="80" w:type="dxa"/>
              <w:end w:w="100" w:type="dxa"/>
            </w:tcMar>
          </w:tcPr>
          <w:p>
            <w:r>
              <w:rPr>
                <w:rFonts w:ascii="Aptos" w:hAnsi="Aptos"/>
                <w:b/>
                <w:color w:val="FFFFFF"/>
                <w:sz w:val="17"/>
              </w:rPr>
              <w:t>Reported measure</w:t>
            </w:r>
          </w:p>
        </w:tc>
        <w:tc>
          <w:tcPr>
            <w:tcW w:type="dxa" w:w="2556"/>
            <w:shd w:fill="17365D"/>
            <w:vAlign w:val="center"/>
            <w:tcMar>
              <w:top w:w="80" w:type="dxa"/>
              <w:start w:w="100" w:type="dxa"/>
              <w:bottom w:w="80" w:type="dxa"/>
              <w:end w:w="100" w:type="dxa"/>
            </w:tcMar>
          </w:tcPr>
          <w:p>
            <w:r>
              <w:rPr>
                <w:rFonts w:ascii="Aptos" w:hAnsi="Aptos"/>
                <w:b/>
                <w:color w:val="FFFFFF"/>
                <w:sz w:val="17"/>
              </w:rPr>
              <w:t>2025</w:t>
            </w:r>
          </w:p>
        </w:tc>
        <w:tc>
          <w:tcPr>
            <w:tcW w:type="dxa" w:w="2556"/>
            <w:shd w:fill="17365D"/>
            <w:vAlign w:val="center"/>
            <w:tcMar>
              <w:top w:w="80" w:type="dxa"/>
              <w:start w:w="100" w:type="dxa"/>
              <w:bottom w:w="80" w:type="dxa"/>
              <w:end w:w="100" w:type="dxa"/>
            </w:tcMar>
          </w:tcPr>
          <w:p>
            <w:r>
              <w:rPr>
                <w:rFonts w:ascii="Aptos" w:hAnsi="Aptos"/>
                <w:b/>
                <w:color w:val="FFFFFF"/>
                <w:sz w:val="17"/>
              </w:rPr>
              <w:t>2024</w:t>
            </w:r>
          </w:p>
        </w:tc>
        <w:tc>
          <w:tcPr>
            <w:tcW w:type="dxa" w:w="2556"/>
            <w:shd w:fill="17365D"/>
            <w:vAlign w:val="center"/>
            <w:tcMar>
              <w:top w:w="80" w:type="dxa"/>
              <w:start w:w="100" w:type="dxa"/>
              <w:bottom w:w="80" w:type="dxa"/>
              <w:end w:w="100" w:type="dxa"/>
            </w:tcMar>
          </w:tcPr>
          <w:p>
            <w:r>
              <w:rPr>
                <w:rFonts w:ascii="Aptos" w:hAnsi="Aptos"/>
                <w:b/>
                <w:color w:val="FFFFFF"/>
                <w:sz w:val="17"/>
              </w:rPr>
              <w:t>Change</w:t>
            </w:r>
          </w:p>
        </w:tc>
      </w:tr>
      <w:tr>
        <w:tc>
          <w:tcPr>
            <w:tcW w:type="dxa" w:w="2556"/>
            <w:tcMar>
              <w:top w:w="80" w:type="dxa"/>
              <w:start w:w="100" w:type="dxa"/>
              <w:bottom w:w="80" w:type="dxa"/>
              <w:end w:w="100" w:type="dxa"/>
            </w:tcMar>
            <w:vAlign w:val="center"/>
          </w:tcPr>
          <w:p>
            <w:pPr>
              <w:jc w:val="left"/>
            </w:pPr>
            <w:r>
              <w:rPr>
                <w:rFonts w:ascii="Aptos" w:hAnsi="Aptos"/>
                <w:sz w:val="17"/>
              </w:rPr>
              <w:t>Interest income</w:t>
            </w:r>
          </w:p>
        </w:tc>
        <w:tc>
          <w:tcPr>
            <w:tcW w:type="dxa" w:w="2556"/>
            <w:tcMar>
              <w:top w:w="80" w:type="dxa"/>
              <w:start w:w="100" w:type="dxa"/>
              <w:bottom w:w="80" w:type="dxa"/>
              <w:end w:w="100" w:type="dxa"/>
            </w:tcMar>
            <w:vAlign w:val="center"/>
          </w:tcPr>
          <w:p>
            <w:pPr>
              <w:jc w:val="right"/>
            </w:pPr>
            <w:r>
              <w:rPr>
                <w:rFonts w:ascii="Aptos" w:hAnsi="Aptos"/>
                <w:sz w:val="17"/>
              </w:rPr>
              <w:t>$89,760</w:t>
            </w:r>
          </w:p>
        </w:tc>
        <w:tc>
          <w:tcPr>
            <w:tcW w:type="dxa" w:w="2556"/>
            <w:tcMar>
              <w:top w:w="80" w:type="dxa"/>
              <w:start w:w="100" w:type="dxa"/>
              <w:bottom w:w="80" w:type="dxa"/>
              <w:end w:w="100" w:type="dxa"/>
            </w:tcMar>
            <w:vAlign w:val="center"/>
          </w:tcPr>
          <w:p>
            <w:pPr>
              <w:jc w:val="right"/>
            </w:pPr>
            <w:r>
              <w:rPr>
                <w:rFonts w:ascii="Aptos" w:hAnsi="Aptos"/>
                <w:sz w:val="17"/>
              </w:rPr>
              <w:t>$82,400</w:t>
            </w:r>
          </w:p>
        </w:tc>
        <w:tc>
          <w:tcPr>
            <w:tcW w:type="dxa" w:w="2556"/>
            <w:tcMar>
              <w:top w:w="80" w:type="dxa"/>
              <w:start w:w="100" w:type="dxa"/>
              <w:bottom w:w="80" w:type="dxa"/>
              <w:end w:w="100" w:type="dxa"/>
            </w:tcMar>
            <w:vAlign w:val="center"/>
          </w:tcPr>
          <w:p>
            <w:pPr>
              <w:jc w:val="right"/>
            </w:pPr>
            <w:r>
              <w:rPr>
                <w:rFonts w:ascii="Aptos" w:hAnsi="Aptos"/>
                <w:sz w:val="17"/>
              </w:rPr>
              <w:t>$7,360</w:t>
            </w:r>
          </w:p>
        </w:tc>
      </w:tr>
      <w:tr>
        <w:tc>
          <w:tcPr>
            <w:tcW w:type="dxa" w:w="2556"/>
            <w:tcMar>
              <w:top w:w="80" w:type="dxa"/>
              <w:start w:w="100" w:type="dxa"/>
              <w:bottom w:w="80" w:type="dxa"/>
              <w:end w:w="100" w:type="dxa"/>
            </w:tcMar>
            <w:vAlign w:val="center"/>
            <w:shd w:fill="F4F7FA"/>
          </w:tcPr>
          <w:p>
            <w:pPr>
              <w:jc w:val="left"/>
            </w:pPr>
            <w:r>
              <w:rPr>
                <w:rFonts w:ascii="Aptos" w:hAnsi="Aptos"/>
                <w:sz w:val="17"/>
              </w:rPr>
              <w:t>Interest expense</w:t>
            </w:r>
          </w:p>
        </w:tc>
        <w:tc>
          <w:tcPr>
            <w:tcW w:type="dxa" w:w="2556"/>
            <w:tcMar>
              <w:top w:w="80" w:type="dxa"/>
              <w:start w:w="100" w:type="dxa"/>
              <w:bottom w:w="80" w:type="dxa"/>
              <w:end w:w="100" w:type="dxa"/>
            </w:tcMar>
            <w:vAlign w:val="center"/>
            <w:shd w:fill="F4F7FA"/>
          </w:tcPr>
          <w:p>
            <w:pPr>
              <w:jc w:val="right"/>
            </w:pPr>
            <w:r>
              <w:rPr>
                <w:rFonts w:ascii="Aptos" w:hAnsi="Aptos"/>
                <w:sz w:val="17"/>
              </w:rPr>
              <w:t>$41,840</w:t>
            </w:r>
          </w:p>
        </w:tc>
        <w:tc>
          <w:tcPr>
            <w:tcW w:type="dxa" w:w="2556"/>
            <w:tcMar>
              <w:top w:w="80" w:type="dxa"/>
              <w:start w:w="100" w:type="dxa"/>
              <w:bottom w:w="80" w:type="dxa"/>
              <w:end w:w="100" w:type="dxa"/>
            </w:tcMar>
            <w:vAlign w:val="center"/>
            <w:shd w:fill="F4F7FA"/>
          </w:tcPr>
          <w:p>
            <w:pPr>
              <w:jc w:val="right"/>
            </w:pPr>
            <w:r>
              <w:rPr>
                <w:rFonts w:ascii="Aptos" w:hAnsi="Aptos"/>
                <w:sz w:val="17"/>
              </w:rPr>
              <w:t>$28,600</w:t>
            </w:r>
          </w:p>
        </w:tc>
        <w:tc>
          <w:tcPr>
            <w:tcW w:type="dxa" w:w="2556"/>
            <w:tcMar>
              <w:top w:w="80" w:type="dxa"/>
              <w:start w:w="100" w:type="dxa"/>
              <w:bottom w:w="80" w:type="dxa"/>
              <w:end w:w="100" w:type="dxa"/>
            </w:tcMar>
            <w:vAlign w:val="center"/>
            <w:shd w:fill="F4F7FA"/>
          </w:tcPr>
          <w:p>
            <w:pPr>
              <w:jc w:val="right"/>
            </w:pPr>
            <w:r>
              <w:rPr>
                <w:rFonts w:ascii="Aptos" w:hAnsi="Aptos"/>
                <w:sz w:val="17"/>
              </w:rPr>
              <w:t>$13,240</w:t>
            </w:r>
          </w:p>
        </w:tc>
      </w:tr>
      <w:tr>
        <w:tc>
          <w:tcPr>
            <w:tcW w:type="dxa" w:w="2556"/>
            <w:tcMar>
              <w:top w:w="80" w:type="dxa"/>
              <w:start w:w="100" w:type="dxa"/>
              <w:bottom w:w="80" w:type="dxa"/>
              <w:end w:w="100" w:type="dxa"/>
            </w:tcMar>
            <w:vAlign w:val="center"/>
          </w:tcPr>
          <w:p>
            <w:pPr>
              <w:jc w:val="left"/>
            </w:pPr>
            <w:r>
              <w:rPr>
                <w:rFonts w:ascii="Aptos" w:hAnsi="Aptos"/>
                <w:sz w:val="17"/>
              </w:rPr>
              <w:t>Net interest income</w:t>
            </w:r>
          </w:p>
        </w:tc>
        <w:tc>
          <w:tcPr>
            <w:tcW w:type="dxa" w:w="2556"/>
            <w:tcMar>
              <w:top w:w="80" w:type="dxa"/>
              <w:start w:w="100" w:type="dxa"/>
              <w:bottom w:w="80" w:type="dxa"/>
              <w:end w:w="100" w:type="dxa"/>
            </w:tcMar>
            <w:vAlign w:val="center"/>
          </w:tcPr>
          <w:p>
            <w:pPr>
              <w:jc w:val="right"/>
            </w:pPr>
            <w:r>
              <w:rPr>
                <w:rFonts w:ascii="Aptos" w:hAnsi="Aptos"/>
                <w:sz w:val="17"/>
              </w:rPr>
              <w:t>$47,920</w:t>
            </w:r>
          </w:p>
        </w:tc>
        <w:tc>
          <w:tcPr>
            <w:tcW w:type="dxa" w:w="2556"/>
            <w:tcMar>
              <w:top w:w="80" w:type="dxa"/>
              <w:start w:w="100" w:type="dxa"/>
              <w:bottom w:w="80" w:type="dxa"/>
              <w:end w:w="100" w:type="dxa"/>
            </w:tcMar>
            <w:vAlign w:val="center"/>
          </w:tcPr>
          <w:p>
            <w:pPr>
              <w:jc w:val="right"/>
            </w:pPr>
            <w:r>
              <w:rPr>
                <w:rFonts w:ascii="Aptos" w:hAnsi="Aptos"/>
                <w:sz w:val="17"/>
              </w:rPr>
              <w:t>$53,800</w:t>
            </w:r>
          </w:p>
        </w:tc>
        <w:tc>
          <w:tcPr>
            <w:tcW w:type="dxa" w:w="2556"/>
            <w:tcMar>
              <w:top w:w="80" w:type="dxa"/>
              <w:start w:w="100" w:type="dxa"/>
              <w:bottom w:w="80" w:type="dxa"/>
              <w:end w:w="100" w:type="dxa"/>
            </w:tcMar>
            <w:vAlign w:val="center"/>
          </w:tcPr>
          <w:p>
            <w:pPr>
              <w:jc w:val="right"/>
            </w:pPr>
            <w:r>
              <w:rPr>
                <w:rFonts w:ascii="Aptos" w:hAnsi="Aptos"/>
                <w:sz w:val="17"/>
              </w:rPr>
              <w:t>($5,880)</w:t>
            </w:r>
          </w:p>
        </w:tc>
      </w:tr>
      <w:tr>
        <w:tc>
          <w:tcPr>
            <w:tcW w:type="dxa" w:w="2556"/>
            <w:tcMar>
              <w:top w:w="80" w:type="dxa"/>
              <w:start w:w="100" w:type="dxa"/>
              <w:bottom w:w="80" w:type="dxa"/>
              <w:end w:w="100" w:type="dxa"/>
            </w:tcMar>
            <w:vAlign w:val="center"/>
            <w:shd w:fill="F4F7FA"/>
          </w:tcPr>
          <w:p>
            <w:pPr>
              <w:jc w:val="left"/>
            </w:pPr>
            <w:r>
              <w:rPr>
                <w:rFonts w:ascii="Aptos" w:hAnsi="Aptos"/>
                <w:sz w:val="17"/>
              </w:rPr>
              <w:t>Provision for credit losses</w:t>
            </w:r>
          </w:p>
        </w:tc>
        <w:tc>
          <w:tcPr>
            <w:tcW w:type="dxa" w:w="2556"/>
            <w:tcMar>
              <w:top w:w="80" w:type="dxa"/>
              <w:start w:w="100" w:type="dxa"/>
              <w:bottom w:w="80" w:type="dxa"/>
              <w:end w:w="100" w:type="dxa"/>
            </w:tcMar>
            <w:vAlign w:val="center"/>
            <w:shd w:fill="F4F7FA"/>
          </w:tcPr>
          <w:p>
            <w:pPr>
              <w:jc w:val="right"/>
            </w:pPr>
            <w:r>
              <w:rPr>
                <w:rFonts w:ascii="Aptos" w:hAnsi="Aptos"/>
                <w:sz w:val="17"/>
              </w:rPr>
              <w:t>$4,600</w:t>
            </w:r>
          </w:p>
        </w:tc>
        <w:tc>
          <w:tcPr>
            <w:tcW w:type="dxa" w:w="2556"/>
            <w:tcMar>
              <w:top w:w="80" w:type="dxa"/>
              <w:start w:w="100" w:type="dxa"/>
              <w:bottom w:w="80" w:type="dxa"/>
              <w:end w:w="100" w:type="dxa"/>
            </w:tcMar>
            <w:vAlign w:val="center"/>
            <w:shd w:fill="F4F7FA"/>
          </w:tcPr>
          <w:p>
            <w:pPr>
              <w:jc w:val="right"/>
            </w:pPr>
            <w:r>
              <w:rPr>
                <w:rFonts w:ascii="Aptos" w:hAnsi="Aptos"/>
                <w:sz w:val="17"/>
              </w:rPr>
              <w:t>$2,100</w:t>
            </w:r>
          </w:p>
        </w:tc>
        <w:tc>
          <w:tcPr>
            <w:tcW w:type="dxa" w:w="2556"/>
            <w:tcMar>
              <w:top w:w="80" w:type="dxa"/>
              <w:start w:w="100" w:type="dxa"/>
              <w:bottom w:w="80" w:type="dxa"/>
              <w:end w:w="100" w:type="dxa"/>
            </w:tcMar>
            <w:vAlign w:val="center"/>
            <w:shd w:fill="F4F7FA"/>
          </w:tcPr>
          <w:p>
            <w:pPr>
              <w:jc w:val="right"/>
            </w:pPr>
            <w:r>
              <w:rPr>
                <w:rFonts w:ascii="Aptos" w:hAnsi="Aptos"/>
                <w:sz w:val="17"/>
              </w:rPr>
              <w:t>$2,500</w:t>
            </w:r>
          </w:p>
        </w:tc>
      </w:tr>
      <w:tr>
        <w:tc>
          <w:tcPr>
            <w:tcW w:type="dxa" w:w="2556"/>
            <w:tcMar>
              <w:top w:w="80" w:type="dxa"/>
              <w:start w:w="100" w:type="dxa"/>
              <w:bottom w:w="80" w:type="dxa"/>
              <w:end w:w="100" w:type="dxa"/>
            </w:tcMar>
            <w:vAlign w:val="center"/>
          </w:tcPr>
          <w:p>
            <w:pPr>
              <w:jc w:val="left"/>
            </w:pPr>
            <w:r>
              <w:rPr>
                <w:rFonts w:ascii="Aptos" w:hAnsi="Aptos"/>
                <w:sz w:val="17"/>
              </w:rPr>
              <w:t>Noninterest income</w:t>
            </w:r>
          </w:p>
        </w:tc>
        <w:tc>
          <w:tcPr>
            <w:tcW w:type="dxa" w:w="2556"/>
            <w:tcMar>
              <w:top w:w="80" w:type="dxa"/>
              <w:start w:w="100" w:type="dxa"/>
              <w:bottom w:w="80" w:type="dxa"/>
              <w:end w:w="100" w:type="dxa"/>
            </w:tcMar>
            <w:vAlign w:val="center"/>
          </w:tcPr>
          <w:p>
            <w:pPr>
              <w:jc w:val="right"/>
            </w:pPr>
            <w:r>
              <w:rPr>
                <w:rFonts w:ascii="Aptos" w:hAnsi="Aptos"/>
                <w:sz w:val="17"/>
              </w:rPr>
              <w:t>$10,960</w:t>
            </w:r>
          </w:p>
        </w:tc>
        <w:tc>
          <w:tcPr>
            <w:tcW w:type="dxa" w:w="2556"/>
            <w:tcMar>
              <w:top w:w="80" w:type="dxa"/>
              <w:start w:w="100" w:type="dxa"/>
              <w:bottom w:w="80" w:type="dxa"/>
              <w:end w:w="100" w:type="dxa"/>
            </w:tcMar>
            <w:vAlign w:val="center"/>
          </w:tcPr>
          <w:p>
            <w:pPr>
              <w:jc w:val="right"/>
            </w:pPr>
            <w:r>
              <w:rPr>
                <w:rFonts w:ascii="Aptos" w:hAnsi="Aptos"/>
                <w:sz w:val="17"/>
              </w:rPr>
              <w:t>$8,750</w:t>
            </w:r>
          </w:p>
        </w:tc>
        <w:tc>
          <w:tcPr>
            <w:tcW w:type="dxa" w:w="2556"/>
            <w:tcMar>
              <w:top w:w="80" w:type="dxa"/>
              <w:start w:w="100" w:type="dxa"/>
              <w:bottom w:w="80" w:type="dxa"/>
              <w:end w:w="100" w:type="dxa"/>
            </w:tcMar>
            <w:vAlign w:val="center"/>
          </w:tcPr>
          <w:p>
            <w:pPr>
              <w:jc w:val="right"/>
            </w:pPr>
            <w:r>
              <w:rPr>
                <w:rFonts w:ascii="Aptos" w:hAnsi="Aptos"/>
                <w:sz w:val="17"/>
              </w:rPr>
              <w:t>$2,210</w:t>
            </w:r>
          </w:p>
        </w:tc>
      </w:tr>
      <w:tr>
        <w:tc>
          <w:tcPr>
            <w:tcW w:type="dxa" w:w="2556"/>
            <w:tcMar>
              <w:top w:w="80" w:type="dxa"/>
              <w:start w:w="100" w:type="dxa"/>
              <w:bottom w:w="80" w:type="dxa"/>
              <w:end w:w="100" w:type="dxa"/>
            </w:tcMar>
            <w:vAlign w:val="center"/>
            <w:shd w:fill="F4F7FA"/>
          </w:tcPr>
          <w:p>
            <w:pPr>
              <w:jc w:val="left"/>
            </w:pPr>
            <w:r>
              <w:rPr>
                <w:rFonts w:ascii="Aptos" w:hAnsi="Aptos"/>
                <w:sz w:val="17"/>
              </w:rPr>
              <w:t>Noninterest expense</w:t>
            </w:r>
          </w:p>
        </w:tc>
        <w:tc>
          <w:tcPr>
            <w:tcW w:type="dxa" w:w="2556"/>
            <w:tcMar>
              <w:top w:w="80" w:type="dxa"/>
              <w:start w:w="100" w:type="dxa"/>
              <w:bottom w:w="80" w:type="dxa"/>
              <w:end w:w="100" w:type="dxa"/>
            </w:tcMar>
            <w:vAlign w:val="center"/>
            <w:shd w:fill="F4F7FA"/>
          </w:tcPr>
          <w:p>
            <w:pPr>
              <w:jc w:val="right"/>
            </w:pPr>
            <w:r>
              <w:rPr>
                <w:rFonts w:ascii="Aptos" w:hAnsi="Aptos"/>
                <w:sz w:val="17"/>
              </w:rPr>
              <w:t>$45,400</w:t>
            </w:r>
          </w:p>
        </w:tc>
        <w:tc>
          <w:tcPr>
            <w:tcW w:type="dxa" w:w="2556"/>
            <w:tcMar>
              <w:top w:w="80" w:type="dxa"/>
              <w:start w:w="100" w:type="dxa"/>
              <w:bottom w:w="80" w:type="dxa"/>
              <w:end w:w="100" w:type="dxa"/>
            </w:tcMar>
            <w:vAlign w:val="center"/>
            <w:shd w:fill="F4F7FA"/>
          </w:tcPr>
          <w:p>
            <w:pPr>
              <w:jc w:val="right"/>
            </w:pPr>
            <w:r>
              <w:rPr>
                <w:rFonts w:ascii="Aptos" w:hAnsi="Aptos"/>
                <w:sz w:val="17"/>
              </w:rPr>
              <w:t>$40,650</w:t>
            </w:r>
          </w:p>
        </w:tc>
        <w:tc>
          <w:tcPr>
            <w:tcW w:type="dxa" w:w="2556"/>
            <w:tcMar>
              <w:top w:w="80" w:type="dxa"/>
              <w:start w:w="100" w:type="dxa"/>
              <w:bottom w:w="80" w:type="dxa"/>
              <w:end w:w="100" w:type="dxa"/>
            </w:tcMar>
            <w:vAlign w:val="center"/>
            <w:shd w:fill="F4F7FA"/>
          </w:tcPr>
          <w:p>
            <w:pPr>
              <w:jc w:val="right"/>
            </w:pPr>
            <w:r>
              <w:rPr>
                <w:rFonts w:ascii="Aptos" w:hAnsi="Aptos"/>
                <w:sz w:val="17"/>
              </w:rPr>
              <w:t>$4,750</w:t>
            </w:r>
          </w:p>
        </w:tc>
      </w:tr>
      <w:tr>
        <w:tc>
          <w:tcPr>
            <w:tcW w:type="dxa" w:w="2556"/>
            <w:tcMar>
              <w:top w:w="80" w:type="dxa"/>
              <w:start w:w="100" w:type="dxa"/>
              <w:bottom w:w="80" w:type="dxa"/>
              <w:end w:w="100" w:type="dxa"/>
            </w:tcMar>
            <w:vAlign w:val="center"/>
          </w:tcPr>
          <w:p>
            <w:pPr>
              <w:jc w:val="left"/>
            </w:pPr>
            <w:r>
              <w:rPr>
                <w:rFonts w:ascii="Aptos" w:hAnsi="Aptos"/>
                <w:sz w:val="17"/>
              </w:rPr>
              <w:t>Net income</w:t>
            </w:r>
          </w:p>
        </w:tc>
        <w:tc>
          <w:tcPr>
            <w:tcW w:type="dxa" w:w="2556"/>
            <w:tcMar>
              <w:top w:w="80" w:type="dxa"/>
              <w:start w:w="100" w:type="dxa"/>
              <w:bottom w:w="80" w:type="dxa"/>
              <w:end w:w="100" w:type="dxa"/>
            </w:tcMar>
            <w:vAlign w:val="center"/>
          </w:tcPr>
          <w:p>
            <w:pPr>
              <w:jc w:val="right"/>
            </w:pPr>
            <w:r>
              <w:rPr>
                <w:rFonts w:ascii="Aptos" w:hAnsi="Aptos"/>
                <w:sz w:val="17"/>
              </w:rPr>
              <w:t>$6,830</w:t>
            </w:r>
          </w:p>
        </w:tc>
        <w:tc>
          <w:tcPr>
            <w:tcW w:type="dxa" w:w="2556"/>
            <w:tcMar>
              <w:top w:w="80" w:type="dxa"/>
              <w:start w:w="100" w:type="dxa"/>
              <w:bottom w:w="80" w:type="dxa"/>
              <w:end w:w="100" w:type="dxa"/>
            </w:tcMar>
            <w:vAlign w:val="center"/>
          </w:tcPr>
          <w:p>
            <w:pPr>
              <w:jc w:val="right"/>
            </w:pPr>
            <w:r>
              <w:rPr>
                <w:rFonts w:ascii="Aptos" w:hAnsi="Aptos"/>
                <w:sz w:val="17"/>
              </w:rPr>
              <w:t>$15,200</w:t>
            </w:r>
          </w:p>
        </w:tc>
        <w:tc>
          <w:tcPr>
            <w:tcW w:type="dxa" w:w="2556"/>
            <w:tcMar>
              <w:top w:w="80" w:type="dxa"/>
              <w:start w:w="100" w:type="dxa"/>
              <w:bottom w:w="80" w:type="dxa"/>
              <w:end w:w="100" w:type="dxa"/>
            </w:tcMar>
            <w:vAlign w:val="center"/>
          </w:tcPr>
          <w:p>
            <w:pPr>
              <w:jc w:val="right"/>
            </w:pPr>
            <w:r>
              <w:rPr>
                <w:rFonts w:ascii="Aptos" w:hAnsi="Aptos"/>
                <w:sz w:val="17"/>
              </w:rPr>
              <w:t>($8,370)</w:t>
            </w:r>
          </w:p>
        </w:tc>
      </w:tr>
    </w:tbl>
    <w:p/>
    <w:p>
      <w:pPr>
        <w:pStyle w:val="Heading1"/>
      </w:pPr>
      <w:r>
        <w:rPr>
          <w:rFonts w:ascii="Aptos Display" w:hAnsi="Aptos Display"/>
          <w:color w:val="17365D"/>
        </w:rPr>
        <w:t>Net Interest Margin</w:t>
      </w:r>
    </w:p>
    <w:p>
      <w:pPr>
        <w:pStyle w:val="BodyText"/>
        <w:spacing w:after="120" w:line="259" w:lineRule="auto"/>
      </w:pPr>
      <w:r>
        <w:t>Net interest margin (NIM), a calculated measure, was 3.14% for 2025 and 3.67% for 2024. Accordingly, NIM compressed by 0.53 percentage points in 2025. NIM is not the same as an asset yield or funding-cost rate: it uses net interest income as its numerator and average earning assets as its denominator.</w:t>
      </w:r>
    </w:p>
    <w:tbl>
      <w:tblPr>
        <w:tblStyle w:val="TableGrid"/>
        <w:tblW w:type="auto" w:w="0"/>
        <w:tblLayout w:type="fixed"/>
        <w:tblLook w:firstColumn="1" w:firstRow="1" w:lastColumn="0" w:lastRow="0" w:noHBand="0" w:noVBand="1" w:val="04A0"/>
      </w:tblPr>
      <w:tblGrid>
        <w:gridCol w:w="3408"/>
        <w:gridCol w:w="3408"/>
        <w:gridCol w:w="3408"/>
      </w:tblGrid>
      <w:tr>
        <w:tc>
          <w:tcPr>
            <w:tcW w:type="dxa" w:w="3408"/>
            <w:shd w:fill="17365D"/>
            <w:vAlign w:val="center"/>
            <w:tcMar>
              <w:top w:w="80" w:type="dxa"/>
              <w:start w:w="100" w:type="dxa"/>
              <w:bottom w:w="80" w:type="dxa"/>
              <w:end w:w="100" w:type="dxa"/>
            </w:tcMar>
          </w:tcPr>
          <w:p>
            <w:r>
              <w:rPr>
                <w:rFonts w:ascii="Aptos" w:hAnsi="Aptos"/>
                <w:b/>
                <w:color w:val="FFFFFF"/>
                <w:sz w:val="17"/>
              </w:rPr>
              <w:t>NIM calculation</w:t>
            </w:r>
          </w:p>
        </w:tc>
        <w:tc>
          <w:tcPr>
            <w:tcW w:type="dxa" w:w="3408"/>
            <w:shd w:fill="17365D"/>
            <w:vAlign w:val="center"/>
            <w:tcMar>
              <w:top w:w="80" w:type="dxa"/>
              <w:start w:w="100" w:type="dxa"/>
              <w:bottom w:w="80" w:type="dxa"/>
              <w:end w:w="100" w:type="dxa"/>
            </w:tcMar>
          </w:tcPr>
          <w:p>
            <w:r>
              <w:rPr>
                <w:rFonts w:ascii="Aptos" w:hAnsi="Aptos"/>
                <w:b/>
                <w:color w:val="FFFFFF"/>
                <w:sz w:val="17"/>
              </w:rPr>
              <w:t>2025</w:t>
            </w:r>
          </w:p>
        </w:tc>
        <w:tc>
          <w:tcPr>
            <w:tcW w:type="dxa" w:w="3408"/>
            <w:shd w:fill="17365D"/>
            <w:vAlign w:val="center"/>
            <w:tcMar>
              <w:top w:w="80" w:type="dxa"/>
              <w:start w:w="100" w:type="dxa"/>
              <w:bottom w:w="80" w:type="dxa"/>
              <w:end w:w="100" w:type="dxa"/>
            </w:tcMar>
          </w:tcPr>
          <w:p>
            <w:r>
              <w:rPr>
                <w:rFonts w:ascii="Aptos" w:hAnsi="Aptos"/>
                <w:b/>
                <w:color w:val="FFFFFF"/>
                <w:sz w:val="17"/>
              </w:rPr>
              <w:t>2024</w:t>
            </w:r>
          </w:p>
        </w:tc>
      </w:tr>
      <w:tr>
        <w:tc>
          <w:tcPr>
            <w:tcW w:type="dxa" w:w="3408"/>
            <w:tcMar>
              <w:top w:w="80" w:type="dxa"/>
              <w:start w:w="100" w:type="dxa"/>
              <w:bottom w:w="80" w:type="dxa"/>
              <w:end w:w="100" w:type="dxa"/>
            </w:tcMar>
            <w:vAlign w:val="center"/>
          </w:tcPr>
          <w:p>
            <w:pPr>
              <w:jc w:val="left"/>
            </w:pPr>
            <w:r>
              <w:rPr>
                <w:rFonts w:ascii="Aptos" w:hAnsi="Aptos"/>
                <w:sz w:val="17"/>
              </w:rPr>
              <w:t>Net interest income ($ in thousands)</w:t>
            </w:r>
          </w:p>
        </w:tc>
        <w:tc>
          <w:tcPr>
            <w:tcW w:type="dxa" w:w="3408"/>
            <w:tcMar>
              <w:top w:w="80" w:type="dxa"/>
              <w:start w:w="100" w:type="dxa"/>
              <w:bottom w:w="80" w:type="dxa"/>
              <w:end w:w="100" w:type="dxa"/>
            </w:tcMar>
            <w:vAlign w:val="center"/>
          </w:tcPr>
          <w:p>
            <w:pPr>
              <w:jc w:val="right"/>
            </w:pPr>
            <w:r>
              <w:rPr>
                <w:rFonts w:ascii="Aptos" w:hAnsi="Aptos"/>
                <w:sz w:val="17"/>
              </w:rPr>
              <w:t>$47,920</w:t>
            </w:r>
          </w:p>
        </w:tc>
        <w:tc>
          <w:tcPr>
            <w:tcW w:type="dxa" w:w="3408"/>
            <w:tcMar>
              <w:top w:w="80" w:type="dxa"/>
              <w:start w:w="100" w:type="dxa"/>
              <w:bottom w:w="80" w:type="dxa"/>
              <w:end w:w="100" w:type="dxa"/>
            </w:tcMar>
            <w:vAlign w:val="center"/>
          </w:tcPr>
          <w:p>
            <w:pPr>
              <w:jc w:val="right"/>
            </w:pPr>
            <w:r>
              <w:rPr>
                <w:rFonts w:ascii="Aptos" w:hAnsi="Aptos"/>
                <w:sz w:val="17"/>
              </w:rPr>
              <w:t>$53,800</w:t>
            </w:r>
          </w:p>
        </w:tc>
      </w:tr>
      <w:tr>
        <w:tc>
          <w:tcPr>
            <w:tcW w:type="dxa" w:w="3408"/>
            <w:tcMar>
              <w:top w:w="80" w:type="dxa"/>
              <w:start w:w="100" w:type="dxa"/>
              <w:bottom w:w="80" w:type="dxa"/>
              <w:end w:w="100" w:type="dxa"/>
            </w:tcMar>
            <w:vAlign w:val="center"/>
            <w:shd w:fill="F4F7FA"/>
          </w:tcPr>
          <w:p>
            <w:pPr>
              <w:jc w:val="left"/>
            </w:pPr>
            <w:r>
              <w:rPr>
                <w:rFonts w:ascii="Aptos" w:hAnsi="Aptos"/>
                <w:sz w:val="17"/>
              </w:rPr>
              <w:t>Average earning assets ($ in thousands)</w:t>
            </w:r>
          </w:p>
        </w:tc>
        <w:tc>
          <w:tcPr>
            <w:tcW w:type="dxa" w:w="3408"/>
            <w:tcMar>
              <w:top w:w="80" w:type="dxa"/>
              <w:start w:w="100" w:type="dxa"/>
              <w:bottom w:w="80" w:type="dxa"/>
              <w:end w:w="100" w:type="dxa"/>
            </w:tcMar>
            <w:vAlign w:val="center"/>
            <w:shd w:fill="F4F7FA"/>
          </w:tcPr>
          <w:p>
            <w:pPr>
              <w:jc w:val="right"/>
            </w:pPr>
            <w:r>
              <w:rPr>
                <w:rFonts w:ascii="Aptos" w:hAnsi="Aptos"/>
                <w:sz w:val="17"/>
              </w:rPr>
              <w:t>$1,524,000</w:t>
            </w:r>
          </w:p>
        </w:tc>
        <w:tc>
          <w:tcPr>
            <w:tcW w:type="dxa" w:w="3408"/>
            <w:tcMar>
              <w:top w:w="80" w:type="dxa"/>
              <w:start w:w="100" w:type="dxa"/>
              <w:bottom w:w="80" w:type="dxa"/>
              <w:end w:w="100" w:type="dxa"/>
            </w:tcMar>
            <w:vAlign w:val="center"/>
            <w:shd w:fill="F4F7FA"/>
          </w:tcPr>
          <w:p>
            <w:pPr>
              <w:jc w:val="right"/>
            </w:pPr>
            <w:r>
              <w:rPr>
                <w:rFonts w:ascii="Aptos" w:hAnsi="Aptos"/>
                <w:sz w:val="17"/>
              </w:rPr>
              <w:t>$1,465,000</w:t>
            </w:r>
          </w:p>
        </w:tc>
      </w:tr>
      <w:tr>
        <w:tc>
          <w:tcPr>
            <w:tcW w:type="dxa" w:w="3408"/>
            <w:tcMar>
              <w:top w:w="80" w:type="dxa"/>
              <w:start w:w="100" w:type="dxa"/>
              <w:bottom w:w="80" w:type="dxa"/>
              <w:end w:w="100" w:type="dxa"/>
            </w:tcMar>
            <w:vAlign w:val="center"/>
          </w:tcPr>
          <w:p>
            <w:pPr>
              <w:jc w:val="left"/>
            </w:pPr>
            <w:r>
              <w:rPr>
                <w:rFonts w:ascii="Aptos" w:hAnsi="Aptos"/>
                <w:sz w:val="17"/>
              </w:rPr>
              <w:t>Calculated NIM</w:t>
            </w:r>
          </w:p>
        </w:tc>
        <w:tc>
          <w:tcPr>
            <w:tcW w:type="dxa" w:w="3408"/>
            <w:tcMar>
              <w:top w:w="80" w:type="dxa"/>
              <w:start w:w="100" w:type="dxa"/>
              <w:bottom w:w="80" w:type="dxa"/>
              <w:end w:w="100" w:type="dxa"/>
            </w:tcMar>
            <w:vAlign w:val="center"/>
          </w:tcPr>
          <w:p>
            <w:pPr>
              <w:jc w:val="right"/>
            </w:pPr>
            <w:r>
              <w:rPr>
                <w:rFonts w:ascii="Aptos" w:hAnsi="Aptos"/>
                <w:sz w:val="17"/>
              </w:rPr>
              <w:t>3.14%</w:t>
            </w:r>
          </w:p>
        </w:tc>
        <w:tc>
          <w:tcPr>
            <w:tcW w:type="dxa" w:w="3408"/>
            <w:tcMar>
              <w:top w:w="80" w:type="dxa"/>
              <w:start w:w="100" w:type="dxa"/>
              <w:bottom w:w="80" w:type="dxa"/>
              <w:end w:w="100" w:type="dxa"/>
            </w:tcMar>
            <w:vAlign w:val="center"/>
          </w:tcPr>
          <w:p>
            <w:pPr>
              <w:jc w:val="right"/>
            </w:pPr>
            <w:r>
              <w:rPr>
                <w:rFonts w:ascii="Aptos" w:hAnsi="Aptos"/>
                <w:sz w:val="17"/>
              </w:rPr>
              <w:t>3.67%</w:t>
            </w:r>
          </w:p>
        </w:tc>
      </w:tr>
    </w:tbl>
    <w:p/>
    <w:p>
      <w:pPr>
        <w:pStyle w:val="BodyText"/>
        <w:spacing w:after="120" w:line="259" w:lineRule="auto"/>
      </w:pPr>
      <w:r>
        <w:t>The supporting schedule shows that the rate on interest-bearing commercial deposits increased to 4.39% in 2025 from 2.50% in 2024, while total interest-earning-asset yield increased to 5.89% from 5.32%. The schedule’s 2025 pricing record states that selected commercial deposits were repriced ahead of market benchmarks in relationship-retention context. Management’s historical interpretation is that this recorded deposit-pricing action contributed to the increase in deposit funding cost and, together with the resulting increase in interest expense, to the period’s margin compression. This discussion describes the completed-period record only and does not address future deposit behavior, rates, relationships or earnings.</w:t>
      </w:r>
    </w:p>
    <w:p>
      <w:pPr>
        <w:pStyle w:val="Heading1"/>
      </w:pPr>
      <w:r>
        <w:rPr>
          <w:rFonts w:ascii="Aptos Display" w:hAnsi="Aptos Display"/>
          <w:color w:val="17365D"/>
        </w:rPr>
        <w:t>Basis and Methods Note</w:t>
      </w:r>
    </w:p>
    <w:p>
      <w:pPr>
        <w:pStyle w:val="BodyText"/>
        <w:spacing w:after="120" w:line="259" w:lineRule="auto"/>
      </w:pPr>
      <w:r>
        <w:t>Source facts in this section are taken from the comparative income statement and the interest-detail schedule for the years ended December 31, 2025 and 2024. Dollar amounts are in thousands. Comparative dollar changes equal 2025 less 2024; stated percentage changes divide that change by the 2024 amount. Calculated NIM equals the current reporting field ‘Net interest income’ divided by the current reporting field ‘Average earning assets’; because both fields are annual amounts or annual average balances, no further annualization factor is applied.</w:t>
      </w:r>
    </w:p>
    <w:p>
      <w:pPr>
        <w:pStyle w:val="BodyText"/>
        <w:spacing w:after="120" w:line="259" w:lineRule="auto"/>
      </w:pPr>
      <w:r>
        <w:t>The interest-detail schedule contains a visibly labeled ‘Legacy margin input - retired 2023 mapping.’ That field is excluded from the calculation because it is identified as a retired helper and differs from the current average-earning-assets denominator. The statement-average line is consistent with the current denominator. The schedule also lists commercial deposit service packs and individual client statements. Those quantities are not dollars, earning assets, interest income, or a NIM denominator; the recorded 25 statements per pack explains their distinct unit basis, and neither field is used in any financial-rate calculation in this section.</w:t>
      </w:r>
    </w:p>
    <w:p>
      <w:pPr>
        <w:spacing w:before="80" w:after="0"/>
      </w:pPr>
      <w:r>
        <w:rPr>
          <w:i/>
          <w:color w:val="6B7280"/>
          <w:sz w:val="17"/>
        </w:rPr>
        <w:t>Source files: calderwood_financial_statements.xlsx and calderwood_interest_detail.xlsx.</w:t>
      </w:r>
    </w:p>
    <w:sectPr w:rsidR="00FC693F" w:rsidRPr="0006063C" w:rsidSect="00034616">
      <w:pgSz w:w="12240" w:h="15840"/>
      <w:pgMar w:top="936"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