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Witness and Disclosure Dossier</w:t>
      </w:r>
    </w:p>
    <w:p>
      <w:pPr>
        <w:spacing w:after="160"/>
      </w:pPr>
      <w:r>
        <w:rPr>
          <w:i/>
          <w:color w:val="5B6573"/>
        </w:rPr>
        <w:t>North Bay equipment incident | Thursday oversight-review preparation</w:t>
      </w:r>
    </w:p>
    <w:tbl>
      <w:tblPr>
        <w:tblStyle w:val="TableGrid"/>
        <w:tblW w:type="auto" w:w="0"/>
        <w:tblLook w:firstColumn="1" w:firstRow="1" w:lastColumn="0" w:lastRow="0" w:noHBand="0" w:noVBand="1" w:val="04A0"/>
      </w:tblPr>
      <w:tblGrid>
        <w:gridCol w:w="2556"/>
        <w:gridCol w:w="2556"/>
        <w:gridCol w:w="2556"/>
        <w:gridCol w:w="2556"/>
      </w:tblGrid>
      <w:tr>
        <w:tc>
          <w:tcPr>
            <w:tcW w:type="dxa" w:w="2448"/>
            <w:vAlign w:val="center"/>
            <w:shd w:fill="EAF0F8"/>
          </w:tcPr>
          <w:p>
            <w:pPr>
              <w:spacing w:after="0"/>
            </w:pPr>
            <w:r/>
            <w:r>
              <w:rPr>
                <w:rFonts w:ascii="Aptos" w:hAnsi="Aptos"/>
                <w:b/>
                <w:color w:val="17365D"/>
                <w:sz w:val="17"/>
              </w:rPr>
              <w:t>Review purpose</w:t>
            </w:r>
          </w:p>
        </w:tc>
        <w:tc>
          <w:tcPr>
            <w:tcW w:type="dxa" w:w="2448"/>
            <w:vAlign w:val="center"/>
          </w:tcPr>
          <w:p>
            <w:pPr>
              <w:spacing w:after="0"/>
            </w:pPr>
            <w:r/>
            <w:r>
              <w:rPr>
                <w:rFonts w:ascii="Aptos" w:hAnsi="Aptos"/>
                <w:b w:val="0"/>
                <w:sz w:val="17"/>
              </w:rPr>
              <w:t>Regulator-facing review cut</w:t>
            </w:r>
          </w:p>
        </w:tc>
        <w:tc>
          <w:tcPr>
            <w:tcW w:type="dxa" w:w="2448"/>
            <w:vAlign w:val="center"/>
            <w:shd w:fill="EAF0F8"/>
          </w:tcPr>
          <w:p>
            <w:pPr>
              <w:spacing w:after="0"/>
            </w:pPr>
            <w:r/>
            <w:r>
              <w:rPr>
                <w:rFonts w:ascii="Aptos" w:hAnsi="Aptos"/>
                <w:b/>
                <w:color w:val="17365D"/>
                <w:sz w:val="17"/>
              </w:rPr>
              <w:t>Evidence set</w:t>
            </w:r>
          </w:p>
        </w:tc>
        <w:tc>
          <w:tcPr>
            <w:tcW w:type="dxa" w:w="2448"/>
            <w:vAlign w:val="center"/>
          </w:tcPr>
          <w:p>
            <w:pPr>
              <w:spacing w:after="0"/>
            </w:pPr>
            <w:r/>
            <w:r>
              <w:rPr>
                <w:rFonts w:ascii="Aptos" w:hAnsi="Aptos"/>
                <w:b w:val="0"/>
                <w:sz w:val="17"/>
              </w:rPr>
              <w:t>Index export + this dossier</w:t>
            </w:r>
          </w:p>
        </w:tc>
      </w:tr>
      <w:tr>
        <w:tc>
          <w:tcPr>
            <w:tcW w:type="dxa" w:w="2448"/>
            <w:vAlign w:val="center"/>
            <w:shd w:fill="EAF0F8"/>
          </w:tcPr>
          <w:p>
            <w:pPr>
              <w:spacing w:after="0"/>
            </w:pPr>
            <w:r/>
            <w:r>
              <w:rPr>
                <w:rFonts w:ascii="Aptos" w:hAnsi="Aptos"/>
                <w:b/>
                <w:color w:val="17365D"/>
                <w:sz w:val="17"/>
              </w:rPr>
              <w:t>Incident window</w:t>
            </w:r>
          </w:p>
        </w:tc>
        <w:tc>
          <w:tcPr>
            <w:tcW w:type="dxa" w:w="2448"/>
            <w:vAlign w:val="center"/>
          </w:tcPr>
          <w:p>
            <w:pPr>
              <w:spacing w:after="0"/>
            </w:pPr>
            <w:r/>
            <w:r>
              <w:rPr>
                <w:rFonts w:ascii="Aptos" w:hAnsi="Aptos"/>
                <w:b w:val="0"/>
                <w:sz w:val="17"/>
              </w:rPr>
              <w:t>North Bay, 11 Aug 2026</w:t>
            </w:r>
          </w:p>
        </w:tc>
        <w:tc>
          <w:tcPr>
            <w:tcW w:type="dxa" w:w="2448"/>
            <w:vAlign w:val="center"/>
            <w:shd w:fill="EAF0F8"/>
          </w:tcPr>
          <w:p>
            <w:pPr>
              <w:spacing w:after="0"/>
            </w:pPr>
            <w:r/>
            <w:r>
              <w:rPr>
                <w:rFonts w:ascii="Aptos" w:hAnsi="Aptos"/>
                <w:b/>
                <w:color w:val="17365D"/>
                <w:sz w:val="17"/>
              </w:rPr>
              <w:t>Decision point</w:t>
            </w:r>
          </w:p>
        </w:tc>
        <w:tc>
          <w:tcPr>
            <w:tcW w:type="dxa" w:w="2448"/>
            <w:vAlign w:val="center"/>
          </w:tcPr>
          <w:p>
            <w:pPr>
              <w:spacing w:after="0"/>
            </w:pPr>
            <w:r/>
            <w:r>
              <w:rPr>
                <w:rFonts w:ascii="Aptos" w:hAnsi="Aptos"/>
                <w:b w:val="0"/>
                <w:sz w:val="17"/>
              </w:rPr>
              <w:t>Counsel approval before Thursday</w:t>
            </w:r>
          </w:p>
        </w:tc>
      </w:tr>
    </w:tbl>
    <w:p>
      <w:pPr>
        <w:pStyle w:val="Heading1"/>
      </w:pPr>
      <w:r>
        <w:t>Purpose and roles</w:t>
      </w:r>
    </w:p>
    <w:p>
      <w:r>
        <w:t>This dossier is the review note for the North Bay equipment-incident footage. The workbook is the complete clip and rate export. The cut is for an oversight review, not a reconstruction beyond what the footage and witness cross-references support.</w:t>
      </w:r>
    </w:p>
    <w:tbl>
      <w:tblPr>
        <w:tblStyle w:val="TableGrid"/>
        <w:tblW w:type="auto" w:w="0"/>
        <w:tblLook w:firstColumn="1" w:firstRow="1" w:lastColumn="0" w:lastRow="0" w:noHBand="0" w:noVBand="1" w:val="04A0"/>
      </w:tblPr>
      <w:tblGrid>
        <w:gridCol w:w="5112"/>
        <w:gridCol w:w="5112"/>
      </w:tblGrid>
      <w:tr>
        <w:trPr>
          <w:tblHeader w:val="true"/>
        </w:trPr>
        <w:tc>
          <w:tcPr>
            <w:tcW w:type="dxa" w:w="5112"/>
            <w:vAlign w:val="center"/>
            <w:shd w:fill="2F5597"/>
          </w:tcPr>
          <w:p>
            <w:pPr>
              <w:spacing w:after="0"/>
            </w:pPr>
            <w:r/>
            <w:r>
              <w:rPr>
                <w:rFonts w:ascii="Aptos" w:hAnsi="Aptos"/>
                <w:b/>
                <w:color w:val="FFFFFF"/>
                <w:sz w:val="17"/>
              </w:rPr>
              <w:t>Person</w:t>
            </w:r>
          </w:p>
        </w:tc>
        <w:tc>
          <w:tcPr>
            <w:tcW w:type="dxa" w:w="5112"/>
            <w:vAlign w:val="center"/>
            <w:shd w:fill="2F5597"/>
          </w:tcPr>
          <w:p>
            <w:pPr>
              <w:spacing w:after="0"/>
            </w:pPr>
            <w:r/>
            <w:r>
              <w:rPr>
                <w:rFonts w:ascii="Aptos" w:hAnsi="Aptos"/>
                <w:b/>
                <w:color w:val="FFFFFF"/>
                <w:sz w:val="17"/>
              </w:rPr>
              <w:t>Role in this review</w:t>
            </w:r>
          </w:p>
        </w:tc>
      </w:tr>
      <w:tr>
        <w:tc>
          <w:tcPr>
            <w:tcW w:type="dxa" w:w="5112"/>
            <w:vAlign w:val="center"/>
          </w:tcPr>
          <w:p>
            <w:pPr>
              <w:spacing w:after="0"/>
            </w:pPr>
            <w:r/>
            <w:r>
              <w:rPr>
                <w:rFonts w:ascii="Aptos" w:hAnsi="Aptos"/>
                <w:b/>
                <w:color w:val="17365D"/>
                <w:sz w:val="17"/>
              </w:rPr>
              <w:t>Ragnhild Fairbairn</w:t>
            </w:r>
          </w:p>
        </w:tc>
        <w:tc>
          <w:tcPr>
            <w:tcW w:type="dxa" w:w="5112"/>
            <w:vAlign w:val="center"/>
          </w:tcPr>
          <w:p>
            <w:pPr>
              <w:spacing w:after="0"/>
            </w:pPr>
            <w:r/>
            <w:r>
              <w:rPr>
                <w:rFonts w:ascii="Aptos" w:hAnsi="Aptos"/>
                <w:b w:val="0"/>
                <w:sz w:val="17"/>
              </w:rPr>
              <w:t>Senior film and video editor; prepares the paper edit and conforms the approved source ranges.</w:t>
            </w:r>
          </w:p>
        </w:tc>
      </w:tr>
      <w:tr>
        <w:tc>
          <w:tcPr>
            <w:tcW w:type="dxa" w:w="5112"/>
            <w:vAlign w:val="center"/>
          </w:tcPr>
          <w:p>
            <w:pPr>
              <w:spacing w:after="0"/>
            </w:pPr>
            <w:r/>
            <w:r>
              <w:rPr>
                <w:rFonts w:ascii="Aptos" w:hAnsi="Aptos"/>
                <w:b/>
                <w:color w:val="17365D"/>
                <w:sz w:val="17"/>
              </w:rPr>
              <w:t>Mahdi Kirchner</w:t>
            </w:r>
          </w:p>
        </w:tc>
        <w:tc>
          <w:tcPr>
            <w:tcW w:type="dxa" w:w="5112"/>
            <w:vAlign w:val="center"/>
          </w:tcPr>
          <w:p>
            <w:pPr>
              <w:spacing w:after="0"/>
            </w:pPr>
            <w:r/>
            <w:r>
              <w:rPr>
                <w:rFonts w:ascii="Aptos" w:hAnsi="Aptos"/>
                <w:b w:val="0"/>
                <w:sz w:val="17"/>
              </w:rPr>
              <w:t>Cobblemoor Associates contracting and legal-review stakeholder; approves the review-cut presentation for counsel.</w:t>
            </w:r>
          </w:p>
        </w:tc>
      </w:tr>
      <w:tr>
        <w:tc>
          <w:tcPr>
            <w:tcW w:type="dxa" w:w="5112"/>
            <w:vAlign w:val="center"/>
          </w:tcPr>
          <w:p>
            <w:pPr>
              <w:spacing w:after="0"/>
            </w:pPr>
            <w:r/>
            <w:r>
              <w:rPr>
                <w:rFonts w:ascii="Aptos" w:hAnsi="Aptos"/>
                <w:b/>
                <w:color w:val="17365D"/>
                <w:sz w:val="17"/>
              </w:rPr>
              <w:t>Simone Magnusson</w:t>
            </w:r>
          </w:p>
        </w:tc>
        <w:tc>
          <w:tcPr>
            <w:tcW w:type="dxa" w:w="5112"/>
            <w:vAlign w:val="center"/>
          </w:tcPr>
          <w:p>
            <w:pPr>
              <w:spacing w:after="0"/>
            </w:pPr>
            <w:r/>
            <w:r>
              <w:rPr>
                <w:rFonts w:ascii="Aptos" w:hAnsi="Aptos"/>
                <w:b w:val="0"/>
                <w:sz w:val="17"/>
              </w:rPr>
              <w:t>Evidence coordinator; verifies clip identifiers, source ranges, and witness-reference links.</w:t>
            </w:r>
          </w:p>
        </w:tc>
      </w:tr>
      <w:tr>
        <w:tc>
          <w:tcPr>
            <w:tcW w:type="dxa" w:w="5112"/>
            <w:vAlign w:val="center"/>
          </w:tcPr>
          <w:p>
            <w:pPr>
              <w:spacing w:after="0"/>
            </w:pPr>
            <w:r/>
            <w:r>
              <w:rPr>
                <w:rFonts w:ascii="Aptos" w:hAnsi="Aptos"/>
                <w:b/>
                <w:color w:val="17365D"/>
                <w:sz w:val="17"/>
              </w:rPr>
              <w:t>Lorcan Underwood</w:t>
            </w:r>
          </w:p>
        </w:tc>
        <w:tc>
          <w:tcPr>
            <w:tcW w:type="dxa" w:w="5112"/>
            <w:vAlign w:val="center"/>
          </w:tcPr>
          <w:p>
            <w:pPr>
              <w:spacing w:after="0"/>
            </w:pPr>
            <w:r/>
            <w:r>
              <w:rPr>
                <w:rFonts w:ascii="Aptos" w:hAnsi="Aptos"/>
                <w:b w:val="0"/>
                <w:sz w:val="17"/>
              </w:rPr>
              <w:t>Production coordinator; schedules the conform and creates the secure review export.</w:t>
            </w:r>
          </w:p>
        </w:tc>
      </w:tr>
      <w:tr>
        <w:tc>
          <w:tcPr>
            <w:tcW w:type="dxa" w:w="5112"/>
            <w:vAlign w:val="center"/>
          </w:tcPr>
          <w:p>
            <w:pPr>
              <w:spacing w:after="0"/>
            </w:pPr>
            <w:r/>
            <w:r>
              <w:rPr>
                <w:rFonts w:ascii="Aptos" w:hAnsi="Aptos"/>
                <w:b/>
                <w:color w:val="17365D"/>
                <w:sz w:val="17"/>
              </w:rPr>
              <w:t>Ainsley Bonneau</w:t>
            </w:r>
          </w:p>
        </w:tc>
        <w:tc>
          <w:tcPr>
            <w:tcW w:type="dxa" w:w="5112"/>
            <w:vAlign w:val="center"/>
          </w:tcPr>
          <w:p>
            <w:pPr>
              <w:spacing w:after="0"/>
            </w:pPr>
            <w:r/>
            <w:r>
              <w:rPr>
                <w:rFonts w:ascii="Aptos" w:hAnsi="Aptos"/>
                <w:b w:val="0"/>
                <w:sz w:val="17"/>
              </w:rPr>
              <w:t>Quality-control lead; checks captions, timecodes, and final export playback.</w:t>
            </w:r>
          </w:p>
        </w:tc>
      </w:tr>
    </w:tbl>
    <w:p>
      <w:pPr>
        <w:pStyle w:val="Heading1"/>
      </w:pPr>
      <w:r>
        <w:t>Chronology control</w:t>
      </w:r>
    </w:p>
    <w:p>
      <w:r>
        <w:t>Use the event timestamps in the index and the following incident record to determine sequence. Source timecode is the original clip address and must remain in its supplied form; it is not a replacement clock for incident timing. The legacy sequence helper in the export is an intake artifact and is not an incident chronology.</w:t>
      </w:r>
    </w:p>
    <w:tbl>
      <w:tblPr>
        <w:tblStyle w:val="TableGrid"/>
        <w:tblW w:type="auto" w:w="0"/>
        <w:tblLook w:firstColumn="1" w:firstRow="1" w:lastColumn="0" w:lastRow="0" w:noHBand="0" w:noVBand="1" w:val="04A0"/>
      </w:tblPr>
      <w:tblGrid>
        <w:gridCol w:w="3408"/>
        <w:gridCol w:w="3408"/>
        <w:gridCol w:w="3408"/>
      </w:tblGrid>
      <w:tr>
        <w:trPr>
          <w:tblHeader w:val="true"/>
        </w:trPr>
        <w:tc>
          <w:tcPr>
            <w:tcW w:type="dxa" w:w="3408"/>
            <w:vAlign w:val="center"/>
            <w:shd w:fill="2F5597"/>
          </w:tcPr>
          <w:p>
            <w:pPr>
              <w:spacing w:after="0"/>
            </w:pPr>
            <w:r/>
            <w:r>
              <w:rPr>
                <w:rFonts w:ascii="Aptos" w:hAnsi="Aptos"/>
                <w:b/>
                <w:color w:val="FFFFFF"/>
                <w:sz w:val="17"/>
              </w:rPr>
              <w:t>Event time (UTC)</w:t>
            </w:r>
          </w:p>
        </w:tc>
        <w:tc>
          <w:tcPr>
            <w:tcW w:type="dxa" w:w="3408"/>
            <w:vAlign w:val="center"/>
            <w:shd w:fill="2F5597"/>
          </w:tcPr>
          <w:p>
            <w:pPr>
              <w:spacing w:after="0"/>
            </w:pPr>
            <w:r/>
            <w:r>
              <w:rPr>
                <w:rFonts w:ascii="Aptos" w:hAnsi="Aptos"/>
                <w:b/>
                <w:color w:val="FFFFFF"/>
                <w:sz w:val="17"/>
              </w:rPr>
              <w:t>Phase</w:t>
            </w:r>
          </w:p>
        </w:tc>
        <w:tc>
          <w:tcPr>
            <w:tcW w:type="dxa" w:w="3408"/>
            <w:vAlign w:val="center"/>
            <w:shd w:fill="2F5597"/>
          </w:tcPr>
          <w:p>
            <w:pPr>
              <w:spacing w:after="0"/>
            </w:pPr>
            <w:r/>
            <w:r>
              <w:rPr>
                <w:rFonts w:ascii="Aptos" w:hAnsi="Aptos"/>
                <w:b/>
                <w:color w:val="FFFFFF"/>
                <w:sz w:val="17"/>
              </w:rPr>
              <w:t>Record supported by the evidence set</w:t>
            </w:r>
          </w:p>
        </w:tc>
      </w:tr>
      <w:tr>
        <w:tc>
          <w:tcPr>
            <w:tcW w:type="dxa" w:w="3408"/>
            <w:vAlign w:val="center"/>
          </w:tcPr>
          <w:p>
            <w:pPr>
              <w:spacing w:after="0"/>
            </w:pPr>
            <w:r/>
            <w:r>
              <w:rPr>
                <w:rFonts w:ascii="Aptos" w:hAnsi="Aptos"/>
                <w:b w:val="0"/>
                <w:sz w:val="17"/>
              </w:rPr>
              <w:t>09:14:02.000</w:t>
            </w:r>
          </w:p>
        </w:tc>
        <w:tc>
          <w:tcPr>
            <w:tcW w:type="dxa" w:w="3408"/>
            <w:vAlign w:val="center"/>
          </w:tcPr>
          <w:p>
            <w:pPr>
              <w:spacing w:after="0"/>
            </w:pPr>
            <w:r/>
            <w:r>
              <w:rPr>
                <w:rFonts w:ascii="Aptos" w:hAnsi="Aptos"/>
                <w:b w:val="0"/>
                <w:sz w:val="17"/>
              </w:rPr>
              <w:t>Precursor / approach</w:t>
            </w:r>
          </w:p>
        </w:tc>
        <w:tc>
          <w:tcPr>
            <w:tcW w:type="dxa" w:w="3408"/>
            <w:vAlign w:val="center"/>
          </w:tcPr>
          <w:p>
            <w:pPr>
              <w:spacing w:after="0"/>
            </w:pPr>
            <w:r/>
            <w:r>
              <w:rPr>
                <w:rFonts w:ascii="Aptos" w:hAnsi="Aptos"/>
                <w:b w:val="0"/>
                <w:sz w:val="17"/>
              </w:rPr>
              <w:t>An operator approaches the north-bay control station.</w:t>
            </w:r>
          </w:p>
        </w:tc>
      </w:tr>
      <w:tr>
        <w:tc>
          <w:tcPr>
            <w:tcW w:type="dxa" w:w="3408"/>
            <w:vAlign w:val="center"/>
          </w:tcPr>
          <w:p>
            <w:pPr>
              <w:spacing w:after="0"/>
            </w:pPr>
            <w:r/>
            <w:r>
              <w:rPr>
                <w:rFonts w:ascii="Aptos" w:hAnsi="Aptos"/>
                <w:b w:val="0"/>
                <w:sz w:val="17"/>
              </w:rPr>
              <w:t>09:14:08.000</w:t>
            </w:r>
          </w:p>
        </w:tc>
        <w:tc>
          <w:tcPr>
            <w:tcW w:type="dxa" w:w="3408"/>
            <w:vAlign w:val="center"/>
          </w:tcPr>
          <w:p>
            <w:pPr>
              <w:spacing w:after="0"/>
            </w:pPr>
            <w:r/>
            <w:r>
              <w:rPr>
                <w:rFonts w:ascii="Aptos" w:hAnsi="Aptos"/>
                <w:b w:val="0"/>
                <w:sz w:val="17"/>
              </w:rPr>
              <w:t>Precursor / approach</w:t>
            </w:r>
          </w:p>
        </w:tc>
        <w:tc>
          <w:tcPr>
            <w:tcW w:type="dxa" w:w="3408"/>
            <w:vAlign w:val="center"/>
          </w:tcPr>
          <w:p>
            <w:pPr>
              <w:spacing w:after="0"/>
            </w:pPr>
            <w:r/>
            <w:r>
              <w:rPr>
                <w:rFonts w:ascii="Aptos" w:hAnsi="Aptos"/>
                <w:b w:val="0"/>
                <w:sz w:val="17"/>
              </w:rPr>
              <w:t>A hand reaches the emergency-stop guard at the north-bay panel.</w:t>
            </w:r>
          </w:p>
        </w:tc>
      </w:tr>
      <w:tr>
        <w:tc>
          <w:tcPr>
            <w:tcW w:type="dxa" w:w="3408"/>
            <w:vAlign w:val="center"/>
          </w:tcPr>
          <w:p>
            <w:pPr>
              <w:spacing w:after="0"/>
            </w:pPr>
            <w:r/>
            <w:r>
              <w:rPr>
                <w:rFonts w:ascii="Aptos" w:hAnsi="Aptos"/>
                <w:b w:val="0"/>
                <w:sz w:val="17"/>
              </w:rPr>
              <w:t>09:14:15.120</w:t>
            </w:r>
          </w:p>
        </w:tc>
        <w:tc>
          <w:tcPr>
            <w:tcW w:type="dxa" w:w="3408"/>
            <w:vAlign w:val="center"/>
          </w:tcPr>
          <w:p>
            <w:pPr>
              <w:spacing w:after="0"/>
            </w:pPr>
            <w:r/>
            <w:r>
              <w:rPr>
                <w:rFonts w:ascii="Aptos" w:hAnsi="Aptos"/>
                <w:b w:val="0"/>
                <w:sz w:val="17"/>
              </w:rPr>
              <w:t>Critical shutdown</w:t>
            </w:r>
          </w:p>
        </w:tc>
        <w:tc>
          <w:tcPr>
            <w:tcW w:type="dxa" w:w="3408"/>
            <w:vAlign w:val="center"/>
          </w:tcPr>
          <w:p>
            <w:pPr>
              <w:spacing w:after="0"/>
            </w:pPr>
            <w:r/>
            <w:r>
              <w:rPr>
                <w:rFonts w:ascii="Aptos" w:hAnsi="Aptos"/>
                <w:b w:val="0"/>
                <w:sz w:val="17"/>
              </w:rPr>
              <w:t>The actuator is depressed and conveyor movement ceases.</w:t>
            </w:r>
          </w:p>
        </w:tc>
      </w:tr>
      <w:tr>
        <w:tc>
          <w:tcPr>
            <w:tcW w:type="dxa" w:w="3408"/>
            <w:vAlign w:val="center"/>
          </w:tcPr>
          <w:p>
            <w:pPr>
              <w:spacing w:after="0"/>
            </w:pPr>
            <w:r/>
            <w:r>
              <w:rPr>
                <w:rFonts w:ascii="Aptos" w:hAnsi="Aptos"/>
                <w:b w:val="0"/>
                <w:sz w:val="17"/>
              </w:rPr>
              <w:t>09:14:15.360</w:t>
            </w:r>
          </w:p>
        </w:tc>
        <w:tc>
          <w:tcPr>
            <w:tcW w:type="dxa" w:w="3408"/>
            <w:vAlign w:val="center"/>
          </w:tcPr>
          <w:p>
            <w:pPr>
              <w:spacing w:after="0"/>
            </w:pPr>
            <w:r/>
            <w:r>
              <w:rPr>
                <w:rFonts w:ascii="Aptos" w:hAnsi="Aptos"/>
                <w:b w:val="0"/>
                <w:sz w:val="17"/>
              </w:rPr>
              <w:t>Critical shutdown</w:t>
            </w:r>
          </w:p>
        </w:tc>
        <w:tc>
          <w:tcPr>
            <w:tcW w:type="dxa" w:w="3408"/>
            <w:vAlign w:val="center"/>
          </w:tcPr>
          <w:p>
            <w:pPr>
              <w:spacing w:after="0"/>
            </w:pPr>
            <w:r/>
            <w:r>
              <w:rPr>
                <w:rFonts w:ascii="Aptos" w:hAnsi="Aptos"/>
                <w:b w:val="0"/>
                <w:sz w:val="17"/>
              </w:rPr>
              <w:t>The guard-side angle records an indicator change in the same shutdown moment; it is corroborating coverage, not an additional event.</w:t>
            </w:r>
          </w:p>
        </w:tc>
      </w:tr>
      <w:tr>
        <w:tc>
          <w:tcPr>
            <w:tcW w:type="dxa" w:w="3408"/>
            <w:vAlign w:val="center"/>
          </w:tcPr>
          <w:p>
            <w:pPr>
              <w:spacing w:after="0"/>
            </w:pPr>
            <w:r/>
            <w:r>
              <w:rPr>
                <w:rFonts w:ascii="Aptos" w:hAnsi="Aptos"/>
                <w:b w:val="0"/>
                <w:sz w:val="17"/>
              </w:rPr>
              <w:t>09:14:19.100</w:t>
            </w:r>
          </w:p>
        </w:tc>
        <w:tc>
          <w:tcPr>
            <w:tcW w:type="dxa" w:w="3408"/>
            <w:vAlign w:val="center"/>
          </w:tcPr>
          <w:p>
            <w:pPr>
              <w:spacing w:after="0"/>
            </w:pPr>
            <w:r/>
            <w:r>
              <w:rPr>
                <w:rFonts w:ascii="Aptos" w:hAnsi="Aptos"/>
                <w:b w:val="0"/>
                <w:sz w:val="17"/>
              </w:rPr>
              <w:t>Immediate aftermath</w:t>
            </w:r>
          </w:p>
        </w:tc>
        <w:tc>
          <w:tcPr>
            <w:tcW w:type="dxa" w:w="3408"/>
            <w:vAlign w:val="center"/>
          </w:tcPr>
          <w:p>
            <w:pPr>
              <w:spacing w:after="0"/>
            </w:pPr>
            <w:r/>
            <w:r>
              <w:rPr>
                <w:rFonts w:ascii="Aptos" w:hAnsi="Aptos"/>
                <w:b w:val="0"/>
                <w:sz w:val="17"/>
              </w:rPr>
              <w:t>Personnel step back after conveyor movement ceases.</w:t>
            </w:r>
          </w:p>
        </w:tc>
      </w:tr>
    </w:tbl>
    <w:p>
      <w:pPr>
        <w:pStyle w:val="Heading1"/>
      </w:pPr>
      <w:r>
        <w:t>Witness-reference register</w:t>
      </w:r>
    </w:p>
    <w:p>
      <w:r>
        <w:t>The codes below are the cross-references used in the index. They identify supporting accounts and log entries; they do not change the visible record or add facts beyond the evidence set.</w:t>
      </w:r>
    </w:p>
    <w:tbl>
      <w:tblPr>
        <w:tblStyle w:val="TableGrid"/>
        <w:tblW w:type="auto" w:w="0"/>
        <w:tblLook w:firstColumn="1" w:firstRow="1" w:lastColumn="0" w:lastRow="0" w:noHBand="0" w:noVBand="1" w:val="04A0"/>
      </w:tblPr>
      <w:tblGrid>
        <w:gridCol w:w="5112"/>
        <w:gridCol w:w="5112"/>
      </w:tblGrid>
      <w:tr>
        <w:trPr>
          <w:tblHeader w:val="true"/>
        </w:trPr>
        <w:tc>
          <w:tcPr>
            <w:tcW w:type="dxa" w:w="5112"/>
            <w:vAlign w:val="center"/>
            <w:shd w:fill="548235"/>
          </w:tcPr>
          <w:p>
            <w:pPr>
              <w:spacing w:after="0"/>
            </w:pPr>
            <w:r/>
            <w:r>
              <w:rPr>
                <w:rFonts w:ascii="Aptos" w:hAnsi="Aptos"/>
                <w:b/>
                <w:color w:val="FFFFFF"/>
                <w:sz w:val="17"/>
              </w:rPr>
              <w:t>Reference</w:t>
            </w:r>
          </w:p>
        </w:tc>
        <w:tc>
          <w:tcPr>
            <w:tcW w:type="dxa" w:w="5112"/>
            <w:vAlign w:val="center"/>
            <w:shd w:fill="548235"/>
          </w:tcPr>
          <w:p>
            <w:pPr>
              <w:spacing w:after="0"/>
            </w:pPr>
            <w:r/>
            <w:r>
              <w:rPr>
                <w:rFonts w:ascii="Aptos" w:hAnsi="Aptos"/>
                <w:b/>
                <w:color w:val="FFFFFF"/>
                <w:sz w:val="17"/>
              </w:rPr>
              <w:t>Coverage in this review</w:t>
            </w:r>
          </w:p>
        </w:tc>
      </w:tr>
      <w:tr>
        <w:tc>
          <w:tcPr>
            <w:tcW w:type="dxa" w:w="5112"/>
            <w:vAlign w:val="center"/>
          </w:tcPr>
          <w:p>
            <w:pPr>
              <w:spacing w:after="0"/>
            </w:pPr>
            <w:r/>
            <w:r>
              <w:rPr>
                <w:rFonts w:ascii="Aptos" w:hAnsi="Aptos"/>
                <w:b/>
                <w:color w:val="17365D"/>
                <w:sz w:val="17"/>
              </w:rPr>
              <w:t>W-01</w:t>
            </w:r>
          </w:p>
        </w:tc>
        <w:tc>
          <w:tcPr>
            <w:tcW w:type="dxa" w:w="5112"/>
            <w:vAlign w:val="center"/>
          </w:tcPr>
          <w:p>
            <w:pPr>
              <w:spacing w:after="0"/>
            </w:pPr>
            <w:r/>
            <w:r>
              <w:rPr>
                <w:rFonts w:ascii="Aptos" w:hAnsi="Aptos"/>
                <w:b w:val="0"/>
                <w:sz w:val="17"/>
              </w:rPr>
              <w:t>Critical-shutdown observation and the overhead interval.</w:t>
            </w:r>
          </w:p>
        </w:tc>
      </w:tr>
      <w:tr>
        <w:tc>
          <w:tcPr>
            <w:tcW w:type="dxa" w:w="5112"/>
            <w:vAlign w:val="center"/>
          </w:tcPr>
          <w:p>
            <w:pPr>
              <w:spacing w:after="0"/>
            </w:pPr>
            <w:r/>
            <w:r>
              <w:rPr>
                <w:rFonts w:ascii="Aptos" w:hAnsi="Aptos"/>
                <w:b/>
                <w:color w:val="17365D"/>
                <w:sz w:val="17"/>
              </w:rPr>
              <w:t>W-02</w:t>
            </w:r>
          </w:p>
        </w:tc>
        <w:tc>
          <w:tcPr>
            <w:tcW w:type="dxa" w:w="5112"/>
            <w:vAlign w:val="center"/>
          </w:tcPr>
          <w:p>
            <w:pPr>
              <w:spacing w:after="0"/>
            </w:pPr>
            <w:r/>
            <w:r>
              <w:rPr>
                <w:rFonts w:ascii="Aptos" w:hAnsi="Aptos"/>
                <w:b w:val="0"/>
                <w:sz w:val="17"/>
              </w:rPr>
              <w:t>Approach and guarded-control reach.</w:t>
            </w:r>
          </w:p>
        </w:tc>
      </w:tr>
      <w:tr>
        <w:tc>
          <w:tcPr>
            <w:tcW w:type="dxa" w:w="5112"/>
            <w:vAlign w:val="center"/>
          </w:tcPr>
          <w:p>
            <w:pPr>
              <w:spacing w:after="0"/>
            </w:pPr>
            <w:r/>
            <w:r>
              <w:rPr>
                <w:rFonts w:ascii="Aptos" w:hAnsi="Aptos"/>
                <w:b/>
                <w:color w:val="17365D"/>
                <w:sz w:val="17"/>
              </w:rPr>
              <w:t>W-03</w:t>
            </w:r>
          </w:p>
        </w:tc>
        <w:tc>
          <w:tcPr>
            <w:tcW w:type="dxa" w:w="5112"/>
            <w:vAlign w:val="center"/>
          </w:tcPr>
          <w:p>
            <w:pPr>
              <w:spacing w:after="0"/>
            </w:pPr>
            <w:r/>
            <w:r>
              <w:rPr>
                <w:rFonts w:ascii="Aptos" w:hAnsi="Aptos"/>
                <w:b w:val="0"/>
                <w:sz w:val="17"/>
              </w:rPr>
              <w:t>Shutdown timing and indicator-state cross-check.</w:t>
            </w:r>
          </w:p>
        </w:tc>
      </w:tr>
      <w:tr>
        <w:tc>
          <w:tcPr>
            <w:tcW w:type="dxa" w:w="5112"/>
            <w:vAlign w:val="center"/>
          </w:tcPr>
          <w:p>
            <w:pPr>
              <w:spacing w:after="0"/>
            </w:pPr>
            <w:r/>
            <w:r>
              <w:rPr>
                <w:rFonts w:ascii="Aptos" w:hAnsi="Aptos"/>
                <w:b/>
                <w:color w:val="17365D"/>
                <w:sz w:val="17"/>
              </w:rPr>
              <w:t>W-04</w:t>
            </w:r>
          </w:p>
        </w:tc>
        <w:tc>
          <w:tcPr>
            <w:tcW w:type="dxa" w:w="5112"/>
            <w:vAlign w:val="center"/>
          </w:tcPr>
          <w:p>
            <w:pPr>
              <w:spacing w:after="0"/>
            </w:pPr>
            <w:r/>
            <w:r>
              <w:rPr>
                <w:rFonts w:ascii="Aptos" w:hAnsi="Aptos"/>
                <w:b w:val="0"/>
                <w:sz w:val="17"/>
              </w:rPr>
              <w:t>Approach context and personnel step-back.</w:t>
            </w:r>
          </w:p>
        </w:tc>
      </w:tr>
      <w:tr>
        <w:tc>
          <w:tcPr>
            <w:tcW w:type="dxa" w:w="5112"/>
            <w:vAlign w:val="center"/>
          </w:tcPr>
          <w:p>
            <w:pPr>
              <w:spacing w:after="0"/>
            </w:pPr>
            <w:r/>
            <w:r>
              <w:rPr>
                <w:rFonts w:ascii="Aptos" w:hAnsi="Aptos"/>
                <w:b/>
                <w:color w:val="17365D"/>
                <w:sz w:val="17"/>
              </w:rPr>
              <w:t>W-05</w:t>
            </w:r>
          </w:p>
        </w:tc>
        <w:tc>
          <w:tcPr>
            <w:tcW w:type="dxa" w:w="5112"/>
            <w:vAlign w:val="center"/>
          </w:tcPr>
          <w:p>
            <w:pPr>
              <w:spacing w:after="0"/>
            </w:pPr>
            <w:r/>
            <w:r>
              <w:rPr>
                <w:rFonts w:ascii="Aptos" w:hAnsi="Aptos"/>
                <w:b w:val="0"/>
                <w:sz w:val="17"/>
              </w:rPr>
              <w:t>Indicator-state and personnel-clear observation.</w:t>
            </w:r>
          </w:p>
        </w:tc>
      </w:tr>
    </w:tbl>
    <w:p>
      <w:pPr>
        <w:pStyle w:val="Heading1"/>
      </w:pPr>
      <w:r>
        <w:t>Disclosure policy for the review cut</w:t>
      </w:r>
    </w:p>
    <w:p>
      <w:pPr>
        <w:pStyle w:val="ListBullet"/>
      </w:pPr>
      <w:r>
        <w:t>Preserve the material event order. Do not use a smoother visual order when it conflicts with the chronology record or the event-time field.</w:t>
      </w:r>
    </w:p>
    <w:p>
      <w:pPr>
        <w:pStyle w:val="ListBullet"/>
      </w:pPr>
      <w:r>
        <w:t>Select footage that is relevant to the North Bay incident-review scope. Leave unrelated activity out of the review cut and identify reviewed material that was omitted where it is material to the disclosure record.</w:t>
      </w:r>
    </w:p>
    <w:p>
      <w:pPr>
        <w:pStyle w:val="ListBullet"/>
      </w:pPr>
      <w:r>
        <w:t>Repeated coverage is not a separate event. A second angle may be retained only when it contributes a distinct visible cue, timing cue, object, action, or witness-linked corroboration. State that contribution in the edit notes. Material repeated coverage omitted from the cut must be identified for counsel.</w:t>
      </w:r>
    </w:p>
    <w:p>
      <w:pPr>
        <w:pStyle w:val="ListBullet"/>
      </w:pPr>
      <w:r>
        <w:t>Use the indexed caption wording, or a bounded paraphrase that preserves its meaning. Do not add cause, intent, identity, technical conclusion, or timing detail that is absent from the evidence set.</w:t>
      </w:r>
    </w:p>
    <w:p>
      <w:pPr>
        <w:pStyle w:val="ListBullet"/>
      </w:pPr>
      <w:r>
        <w:t>A media pack is a delivery container. Each Clip ID is the selectable footage unit for the cut, runtime, coverage metric, and any clip-based finishing estimate.</w:t>
      </w:r>
    </w:p>
    <w:p>
      <w:pPr>
        <w:pStyle w:val="Heading1"/>
      </w:pPr>
      <w:r>
        <w:t>Coverage and finishing context</w:t>
      </w:r>
    </w:p>
    <w:p>
      <w:r>
        <w:t>For each phase shown in the review summary, corroboration density is the number of distinct supporting witness references divided by the number of distinct selected clips in that phase. The label is references per selected clip, not a percentage. The dossier does not prescribe treatment when a phase has no selected clips.</w:t>
      </w:r>
    </w:p>
    <w:p>
      <w:r>
        <w:t>Before the Thursday oversight review, the approved cut needs: source-range conform and relink; source-supported caption placement; an end-to-end QC check of source timecodes, captions, sequence, and playback; and legal-review sign-off. The rate card in the export applies to each distinct selected source clip in an option. The source rate and its stated basis control the estimate.</w:t>
      </w:r>
    </w:p>
    <w:p/>
    <w:p>
      <w:pPr>
        <w:spacing w:before="60"/>
      </w:pPr>
      <w:r>
        <w:rPr>
          <w:b/>
          <w:color w:val="17365D"/>
        </w:rPr>
        <w:t xml:space="preserve">Record boundary: </w:t>
      </w:r>
      <w:r>
        <w:t>This dossier and the equipment-incident evidence index are the complete source set for the paper edit.</w:t>
      </w:r>
    </w:p>
    <w:sectPr w:rsidR="00FC693F" w:rsidRPr="0006063C" w:rsidSect="00034616">
      <w:headerReference w:type="default" r:id="rId9"/>
      <w:footerReference w:type="default" r:id="rId10"/>
      <w:pgSz w:w="12240" w:h="15840"/>
      <w:pgMar w:top="893" w:right="1008" w:bottom="893"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B6573"/>
        <w:sz w:val="16"/>
      </w:rPr>
      <w:t>North Bay incident footage | Counsel working dossier | 12 Aug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B6573"/>
        <w:sz w:val="16"/>
      </w:rPr>
      <w:t>COBBLEMOOR ASSOCIATES | REVIEW PREPARATION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597"/>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