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metric standard</w:t>
      </w:r>
    </w:p>
    <w:p>
      <w:r>
        <w:rPr>
          <w:color w:val="62728A"/>
          <w:sz w:val="18"/>
        </w:rPr>
        <w:t>Regional close and presentation standard | Issued 01 October 2026</w:t>
      </w:r>
    </w:p>
    <w:p>
      <w:pPr>
        <w:pStyle w:val="Heading1"/>
      </w:pPr>
      <w:r>
        <w:t>Purpose and scope</w:t>
      </w:r>
    </w:p>
    <w:p>
      <w:r>
        <w:t>Applies to Western regional close reporting and approved regional presentations. Amounts in the source export are dollars; public exhibits use the display units specified in the approved content brief.</w:t>
      </w:r>
    </w:p>
    <w:p>
      <w:pPr>
        <w:pStyle w:val="Heading1"/>
      </w:pPr>
      <w:r>
        <w:t>Record and period treatment</w:t>
      </w:r>
    </w:p>
    <w:p>
      <w:pPr>
        <w:pStyle w:val="ListBullet"/>
      </w:pPr>
      <w:r>
        <w:t>Source Record ID is the unique key. Where a key repeats, retain the occurrence with the latest Load Timestamp; all earlier occurrences are excluded from regional aggregates.</w:t>
      </w:r>
    </w:p>
    <w:p>
      <w:pPr>
        <w:pStyle w:val="ListBullet"/>
      </w:pPr>
      <w:r>
        <w:t>FY2024 and FY2025 are Actual. FY2026 is Forecast, a planning estimate and not a commitment. Revenue and operating expense are flow metrics aggregated for the reporting period. Deposit and lending balances are period-end balances.</w:t>
      </w:r>
    </w:p>
    <w:p>
      <w:pPr>
        <w:pStyle w:val="ListBullet"/>
      </w:pPr>
      <w:r>
        <w:t>New-account activity is recorded as onboarding packs. For public reporting, one onboarding pack represents 48 individual opened accounts.</w:t>
      </w:r>
    </w:p>
    <w:p>
      <w:pPr>
        <w:pStyle w:val="ListBullet"/>
      </w:pPr>
      <w:r>
        <w:t>Stored per-account monetary rates are rounded to the nearest cent before comparison, classification or multiplication. Calculate servicing expense from individual opened accounts multiplied by the rounded rate.</w:t>
      </w:r>
    </w:p>
    <w:p>
      <w:pPr>
        <w:pStyle w:val="Heading1"/>
      </w:pPr>
      <w:r>
        <w:t>Metric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Definition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Revenue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Service revenue plus interest revenue.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Operating expense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Payroll, occupancy and other operating expense plus calculated servicing expense.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Operating contribution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Revenue less operating expense.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Operating margin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Operating contribution divided by revenue.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Deposit / lending balance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Sum of retained period-end branch balances.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Branch count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Distinct active branch identifiers in the period; use approved consolidation treatment.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FTE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Sum of retained FTE for active branches in scope.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Contribution per FTE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Operating contribution divided by FTE.</w:t>
            </w:r>
          </w:p>
        </w:tc>
      </w:tr>
    </w:tbl>
    <w:p>
      <w:pPr>
        <w:pStyle w:val="Heading1"/>
      </w:pPr>
      <w:r>
        <w:t>Display and materiality</w:t>
      </w:r>
    </w:p>
    <w:p>
      <w:r>
        <w:t>Display dollars as $m to two decimals unless a brief assigns whole dollars; show opened accounts as whole accounts, FTE to one decimal and rates/margins/movements to one decimal percentage point. A movement is material when either the absolute change is at least $1.00m or the percentage change is at least 5.0%. Calculate movements from unrounded totals, then round for display.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8A"/>
        <w:sz w:val="16"/>
      </w:rPr>
      <w:t>Sandpiper Field Services | Finance metric standard |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79B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F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