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79"/>
          <w:sz w:val="36"/>
        </w:rPr>
        <w:t>CINDERHALL UTILITIES</w:t>
      </w:r>
    </w:p>
    <w:p>
      <w:pPr>
        <w:spacing w:after="120"/>
        <w:jc w:val="center"/>
      </w:pPr>
      <w:r>
        <w:rPr>
          <w:b/>
          <w:sz w:val="24"/>
        </w:rPr>
        <w:t>WAREHOUSE FACILITY — MONTHLY COVENANT COMPLIANCE CERTIFICATE</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880"/>
            <w:vAlign w:val="center"/>
            <w:shd w:fill="DCE6F1"/>
          </w:tcPr>
          <w:p>
            <w:pPr>
              <w:spacing w:after="0" w:before="0"/>
            </w:pPr>
            <w:r/>
            <w:r>
              <w:rPr>
                <w:b/>
                <w:sz w:val="16"/>
              </w:rPr>
              <w:t>CONTROLLED FORM</w:t>
            </w:r>
          </w:p>
        </w:tc>
        <w:tc>
          <w:tcPr>
            <w:tcW w:type="dxa" w:w="6624"/>
            <w:vAlign w:val="center"/>
            <w:shd w:fill="DCE6F1"/>
          </w:tcPr>
          <w:p>
            <w:pPr>
              <w:spacing w:after="0" w:before="0"/>
            </w:pPr>
            <w:r/>
            <w:r>
              <w:rPr>
                <w:b/>
                <w:sz w:val="16"/>
              </w:rPr>
              <w:t>DETAIL</w:t>
            </w:r>
          </w:p>
        </w:tc>
      </w:tr>
      <w:tr>
        <w:tc>
          <w:tcPr>
            <w:tcW w:type="dxa" w:w="2880"/>
            <w:vAlign w:val="center"/>
          </w:tcPr>
          <w:p>
            <w:pPr>
              <w:spacing w:after="0" w:before="0"/>
            </w:pPr>
            <w:r/>
            <w:r>
              <w:rPr>
                <w:b w:val="0"/>
                <w:sz w:val="16"/>
              </w:rPr>
              <w:t>Form ID / version</w:t>
            </w:r>
          </w:p>
        </w:tc>
        <w:tc>
          <w:tcPr>
            <w:tcW w:type="dxa" w:w="6624"/>
            <w:vAlign w:val="center"/>
          </w:tcPr>
          <w:p>
            <w:pPr>
              <w:spacing w:after="0" w:before="0"/>
            </w:pPr>
            <w:r/>
            <w:r>
              <w:rPr>
                <w:b w:val="0"/>
                <w:sz w:val="16"/>
              </w:rPr>
              <w:t>WH-CERT-01 / v1.0</w:t>
            </w:r>
          </w:p>
        </w:tc>
      </w:tr>
      <w:tr>
        <w:tc>
          <w:tcPr>
            <w:tcW w:type="dxa" w:w="2880"/>
            <w:vAlign w:val="center"/>
          </w:tcPr>
          <w:p>
            <w:pPr>
              <w:spacing w:after="0" w:before="0"/>
            </w:pPr>
            <w:r/>
            <w:r>
              <w:rPr>
                <w:b w:val="0"/>
                <w:sz w:val="16"/>
              </w:rPr>
              <w:t>Status</w:t>
            </w:r>
          </w:p>
        </w:tc>
        <w:tc>
          <w:tcPr>
            <w:tcW w:type="dxa" w:w="6624"/>
            <w:vAlign w:val="center"/>
          </w:tcPr>
          <w:p>
            <w:pPr>
              <w:spacing w:after="0" w:before="0"/>
            </w:pPr>
            <w:r/>
            <w:r>
              <w:rPr>
                <w:b w:val="0"/>
                <w:sz w:val="16"/>
              </w:rPr>
              <w:t>Controlled replacement for prior facility boilerplate</w:t>
            </w:r>
          </w:p>
        </w:tc>
      </w:tr>
      <w:tr>
        <w:tc>
          <w:tcPr>
            <w:tcW w:type="dxa" w:w="2880"/>
            <w:vAlign w:val="center"/>
          </w:tcPr>
          <w:p>
            <w:pPr>
              <w:spacing w:after="0" w:before="0"/>
            </w:pPr>
            <w:r/>
            <w:r>
              <w:rPr>
                <w:b w:val="0"/>
                <w:sz w:val="16"/>
              </w:rPr>
              <w:t>Owner</w:t>
            </w:r>
          </w:p>
        </w:tc>
        <w:tc>
          <w:tcPr>
            <w:tcW w:type="dxa" w:w="6624"/>
            <w:vAlign w:val="center"/>
          </w:tcPr>
          <w:p>
            <w:pPr>
              <w:spacing w:after="0" w:before="0"/>
            </w:pPr>
            <w:r/>
            <w:r>
              <w:rPr>
                <w:b w:val="0"/>
                <w:sz w:val="16"/>
              </w:rPr>
              <w:t>Petra Beaulieu, Financial Manager</w:t>
            </w:r>
          </w:p>
        </w:tc>
      </w:tr>
      <w:tr>
        <w:tc>
          <w:tcPr>
            <w:tcW w:type="dxa" w:w="2880"/>
            <w:vAlign w:val="center"/>
          </w:tcPr>
          <w:p>
            <w:pPr>
              <w:spacing w:after="0" w:before="0"/>
            </w:pPr>
            <w:r/>
            <w:r>
              <w:rPr>
                <w:b w:val="0"/>
                <w:sz w:val="16"/>
              </w:rPr>
              <w:t>Effective use</w:t>
            </w:r>
          </w:p>
        </w:tc>
        <w:tc>
          <w:tcPr>
            <w:tcW w:type="dxa" w:w="6624"/>
            <w:vAlign w:val="center"/>
          </w:tcPr>
          <w:p>
            <w:pPr>
              <w:spacing w:after="0" w:before="0"/>
            </w:pPr>
            <w:r/>
            <w:r>
              <w:rPr>
                <w:b w:val="0"/>
                <w:sz w:val="16"/>
              </w:rPr>
              <w:t>First test date: December; reusable for every month-end</w:t>
            </w:r>
          </w:p>
        </w:tc>
      </w:tr>
      <w:tr>
        <w:tc>
          <w:tcPr>
            <w:tcW w:type="dxa" w:w="2880"/>
            <w:vAlign w:val="center"/>
          </w:tcPr>
          <w:p>
            <w:pPr>
              <w:spacing w:after="0" w:before="0"/>
            </w:pPr>
            <w:r/>
            <w:r>
              <w:rPr>
                <w:b w:val="0"/>
                <w:sz w:val="16"/>
              </w:rPr>
              <w:t>Lender review caveat</w:t>
            </w:r>
          </w:p>
        </w:tc>
        <w:tc>
          <w:tcPr>
            <w:tcW w:type="dxa" w:w="6624"/>
            <w:vAlign w:val="center"/>
          </w:tcPr>
          <w:p>
            <w:pPr>
              <w:spacing w:after="0" w:before="0"/>
            </w:pPr>
            <w:r/>
            <w:r>
              <w:rPr>
                <w:b w:val="0"/>
                <w:sz w:val="16"/>
              </w:rPr>
              <w:t>Borrower-prepared definitions pending confirmation against executed credit agreement</w:t>
            </w:r>
          </w:p>
        </w:tc>
      </w:tr>
    </w:tbl>
    <w:p>
      <w:pPr>
        <w:spacing w:after="60" w:line="240" w:lineRule="auto"/>
      </w:pPr>
      <w:r>
        <w:rPr>
          <w:b w:val="0"/>
          <w:i w:val="0"/>
          <w:sz w:val="17"/>
        </w:rPr>
        <w:t>Purpose. Complete this certificate from ledger and source-system evidence, obtain independent review, then present the actual-period certification to the CEO. Do not fill blanks with estimates. A specialist should resolve any interpretation that is not supported by the executed facility documents.</w:t>
      </w:r>
    </w:p>
    <w:p>
      <w:pPr>
        <w:spacing w:before="60" w:after="60"/>
      </w:pPr>
      <w:r>
        <w:rPr>
          <w:b/>
          <w:color w:val="1F4E79"/>
          <w:sz w:val="28"/>
        </w:rPr>
        <w:t>1. Facility and period identification</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3312"/>
            <w:vAlign w:val="center"/>
            <w:shd w:fill="DCE6F1"/>
          </w:tcPr>
          <w:p>
            <w:pPr>
              <w:spacing w:after="0" w:before="0"/>
            </w:pPr>
            <w:r/>
            <w:r>
              <w:rPr>
                <w:b/>
                <w:sz w:val="16"/>
              </w:rPr>
              <w:t>Field</w:t>
            </w:r>
          </w:p>
        </w:tc>
        <w:tc>
          <w:tcPr>
            <w:tcW w:type="dxa" w:w="6192"/>
            <w:vAlign w:val="center"/>
            <w:shd w:fill="DCE6F1"/>
          </w:tcPr>
          <w:p>
            <w:pPr>
              <w:spacing w:after="0" w:before="0"/>
            </w:pPr>
            <w:r/>
            <w:r>
              <w:rPr>
                <w:b/>
                <w:sz w:val="16"/>
              </w:rPr>
              <w:t>Enter one value (do not combine dates)</w:t>
            </w:r>
          </w:p>
        </w:tc>
      </w:tr>
      <w:tr>
        <w:tc>
          <w:tcPr>
            <w:tcW w:type="dxa" w:w="3312"/>
            <w:vAlign w:val="center"/>
          </w:tcPr>
          <w:p>
            <w:pPr>
              <w:spacing w:after="0" w:before="0"/>
            </w:pPr>
            <w:r/>
            <w:r>
              <w:rPr>
                <w:b w:val="0"/>
                <w:sz w:val="16"/>
              </w:rPr>
              <w:t>Borrower</w:t>
            </w:r>
          </w:p>
        </w:tc>
        <w:tc>
          <w:tcPr>
            <w:tcW w:type="dxa" w:w="6192"/>
            <w:vAlign w:val="center"/>
          </w:tcPr>
          <w:p>
            <w:pPr>
              <w:spacing w:after="0" w:before="0"/>
            </w:pPr>
            <w:r/>
            <w:r>
              <w:rPr>
                <w:b w:val="0"/>
                <w:sz w:val="16"/>
              </w:rPr>
              <w:t>Cinderhall Utilities</w:t>
            </w:r>
          </w:p>
        </w:tc>
      </w:tr>
      <w:tr>
        <w:tc>
          <w:tcPr>
            <w:tcW w:type="dxa" w:w="3312"/>
            <w:vAlign w:val="center"/>
          </w:tcPr>
          <w:p>
            <w:pPr>
              <w:spacing w:after="0" w:before="0"/>
            </w:pPr>
            <w:r/>
            <w:r>
              <w:rPr>
                <w:b w:val="0"/>
                <w:sz w:val="16"/>
              </w:rPr>
              <w:t>Lender / warehouse provider</w:t>
            </w:r>
          </w:p>
        </w:tc>
        <w:tc>
          <w:tcPr>
            <w:tcW w:type="dxa" w:w="6192"/>
            <w:vAlign w:val="center"/>
          </w:tcPr>
          <w:p>
            <w:pPr>
              <w:spacing w:after="0" w:before="0"/>
            </w:pPr>
            <w:r/>
            <w:r>
              <w:rPr>
                <w:b w:val="0"/>
                <w:sz w:val="16"/>
              </w:rPr>
              <w:t>Sunderly Collective</w:t>
            </w:r>
          </w:p>
        </w:tc>
      </w:tr>
      <w:tr>
        <w:tc>
          <w:tcPr>
            <w:tcW w:type="dxa" w:w="3312"/>
            <w:vAlign w:val="center"/>
          </w:tcPr>
          <w:p>
            <w:pPr>
              <w:spacing w:after="0" w:before="0"/>
            </w:pPr>
            <w:r/>
            <w:r>
              <w:rPr>
                <w:b w:val="0"/>
                <w:sz w:val="16"/>
              </w:rPr>
              <w:t>Facility</w:t>
            </w:r>
          </w:p>
        </w:tc>
        <w:tc>
          <w:tcPr>
            <w:tcW w:type="dxa" w:w="6192"/>
            <w:vAlign w:val="center"/>
          </w:tcPr>
          <w:p>
            <w:pPr>
              <w:spacing w:after="0" w:before="0"/>
            </w:pPr>
            <w:r/>
            <w:r>
              <w:rPr>
                <w:b w:val="0"/>
                <w:sz w:val="16"/>
              </w:rPr>
              <w:t>Warehouse facility — commitment/cap: $25,000,000</w:t>
            </w:r>
          </w:p>
        </w:tc>
      </w:tr>
      <w:tr>
        <w:tc>
          <w:tcPr>
            <w:tcW w:type="dxa" w:w="3312"/>
            <w:vAlign w:val="center"/>
          </w:tcPr>
          <w:p>
            <w:pPr>
              <w:spacing w:after="0" w:before="0"/>
            </w:pPr>
            <w:r/>
            <w:r>
              <w:rPr>
                <w:b w:val="0"/>
                <w:sz w:val="16"/>
              </w:rPr>
              <w:t>Reporting period (month-end)</w:t>
            </w:r>
          </w:p>
        </w:tc>
        <w:tc>
          <w:tcPr>
            <w:tcW w:type="dxa" w:w="6192"/>
            <w:vAlign w:val="center"/>
          </w:tcPr>
          <w:p>
            <w:pPr>
              <w:spacing w:after="0" w:before="0"/>
            </w:pPr>
            <w:r/>
            <w:r>
              <w:rPr>
                <w:b w:val="0"/>
                <w:sz w:val="16"/>
              </w:rPr>
              <w:t>________________  (e.g., 31 December ____ )</w:t>
            </w:r>
          </w:p>
        </w:tc>
      </w:tr>
      <w:tr>
        <w:tc>
          <w:tcPr>
            <w:tcW w:type="dxa" w:w="3312"/>
            <w:vAlign w:val="center"/>
          </w:tcPr>
          <w:p>
            <w:pPr>
              <w:spacing w:after="0" w:before="0"/>
            </w:pPr>
            <w:r/>
            <w:r>
              <w:rPr>
                <w:b w:val="0"/>
                <w:sz w:val="16"/>
              </w:rPr>
              <w:t>Test date</w:t>
            </w:r>
          </w:p>
        </w:tc>
        <w:tc>
          <w:tcPr>
            <w:tcW w:type="dxa" w:w="6192"/>
            <w:vAlign w:val="center"/>
          </w:tcPr>
          <w:p>
            <w:pPr>
              <w:spacing w:after="0" w:before="0"/>
            </w:pPr>
            <w:r/>
            <w:r>
              <w:rPr>
                <w:b w:val="0"/>
                <w:sz w:val="16"/>
              </w:rPr>
              <w:t>________________  (the month-end date tested)</w:t>
            </w:r>
          </w:p>
        </w:tc>
      </w:tr>
      <w:tr>
        <w:tc>
          <w:tcPr>
            <w:tcW w:type="dxa" w:w="3312"/>
            <w:vAlign w:val="center"/>
          </w:tcPr>
          <w:p>
            <w:pPr>
              <w:spacing w:after="0" w:before="0"/>
            </w:pPr>
            <w:r/>
            <w:r>
              <w:rPr>
                <w:b w:val="0"/>
                <w:sz w:val="16"/>
              </w:rPr>
              <w:t>Preparation / delivery date</w:t>
            </w:r>
          </w:p>
        </w:tc>
        <w:tc>
          <w:tcPr>
            <w:tcW w:type="dxa" w:w="6192"/>
            <w:vAlign w:val="center"/>
          </w:tcPr>
          <w:p>
            <w:pPr>
              <w:spacing w:after="0" w:before="0"/>
            </w:pPr>
            <w:r/>
            <w:r>
              <w:rPr>
                <w:b w:val="0"/>
                <w:sz w:val="16"/>
              </w:rPr>
              <w:t>________________  (date sent to Sunderly)</w:t>
            </w:r>
          </w:p>
        </w:tc>
      </w:tr>
      <w:tr>
        <w:tc>
          <w:tcPr>
            <w:tcW w:type="dxa" w:w="3312"/>
            <w:vAlign w:val="center"/>
          </w:tcPr>
          <w:p>
            <w:pPr>
              <w:spacing w:after="0" w:before="0"/>
            </w:pPr>
            <w:r/>
            <w:r>
              <w:rPr>
                <w:b w:val="0"/>
                <w:sz w:val="16"/>
              </w:rPr>
              <w:t>Certificate due date</w:t>
            </w:r>
          </w:p>
        </w:tc>
        <w:tc>
          <w:tcPr>
            <w:tcW w:type="dxa" w:w="6192"/>
            <w:vAlign w:val="center"/>
          </w:tcPr>
          <w:p>
            <w:pPr>
              <w:spacing w:after="0" w:before="0"/>
            </w:pPr>
            <w:r/>
            <w:r>
              <w:rPr>
                <w:b w:val="0"/>
                <w:sz w:val="16"/>
              </w:rPr>
              <w:t>________________  (15 business days after the month-end test date)</w:t>
            </w:r>
          </w:p>
        </w:tc>
      </w:tr>
      <w:tr>
        <w:tc>
          <w:tcPr>
            <w:tcW w:type="dxa" w:w="3312"/>
            <w:vAlign w:val="center"/>
          </w:tcPr>
          <w:p>
            <w:pPr>
              <w:spacing w:after="0" w:before="0"/>
            </w:pPr>
            <w:r/>
            <w:r>
              <w:rPr>
                <w:b w:val="0"/>
                <w:sz w:val="16"/>
              </w:rPr>
              <w:t>Cure-window deadline</w:t>
            </w:r>
          </w:p>
        </w:tc>
        <w:tc>
          <w:tcPr>
            <w:tcW w:type="dxa" w:w="6192"/>
            <w:vAlign w:val="center"/>
          </w:tcPr>
          <w:p>
            <w:pPr>
              <w:spacing w:after="0" w:before="0"/>
            </w:pPr>
            <w:r/>
            <w:r>
              <w:rPr>
                <w:b w:val="0"/>
                <w:sz w:val="16"/>
              </w:rPr>
              <w:t>________________  (10 business days after delivery date)</w:t>
            </w:r>
          </w:p>
        </w:tc>
      </w:tr>
    </w:tbl>
    <w:p>
      <w:pPr>
        <w:spacing w:before="60" w:after="60"/>
      </w:pPr>
      <w:r>
        <w:rPr>
          <w:b/>
          <w:color w:val="1F4E79"/>
          <w:sz w:val="21"/>
        </w:rPr>
        <w:t>How to use this controlled form</w:t>
      </w:r>
    </w:p>
    <w:p>
      <w:pPr>
        <w:spacing w:after="60" w:line="240" w:lineRule="auto"/>
      </w:pPr>
      <w:r>
        <w:rPr>
          <w:b w:val="0"/>
          <w:i w:val="0"/>
          <w:sz w:val="16"/>
        </w:rPr>
        <w:t>1) Enter only actual period-end balances and the measurement period. 2) Attach source-system or ledger reports and calculation evidence. 3) Complete every status and disclose “None” where no exception exists. 4) Reviewer signs before CEO signature. 5) If a covenant fails, mark Non-compliant or Cure-pending; never mark Compliant based on an unfunded intention.</w:t>
      </w:r>
    </w:p>
    <w:p>
      <w:pPr>
        <w:spacing w:after="60" w:line="240" w:lineRule="auto"/>
      </w:pPr>
      <w:r>
        <w:rPr>
          <w:b/>
          <w:i w:val="0"/>
          <w:color w:val="1F4E79"/>
          <w:sz w:val="16"/>
        </w:rPr>
        <w:t>Change from prior boilerplate: this form adopts a separate/excluded treatment for Booked Residual Value, adds a precise delinquency denominator and anti-masking rule, requires a bridge from board-pack EBITDA to covenant Adjusted EBITDA, and makes the cure window and evidence trail operational.</w:t>
      </w:r>
    </w:p>
    <w:p>
      <w:r>
        <w:br w:type="page"/>
      </w:r>
    </w:p>
    <w:p>
      <w:pPr>
        <w:spacing w:before="60" w:after="60"/>
      </w:pPr>
      <w:r>
        <w:rPr>
          <w:b/>
          <w:color w:val="1F4E79"/>
          <w:sz w:val="28"/>
        </w:rPr>
        <w:t>2. Actual-period covenant certificate</w:t>
      </w:r>
    </w:p>
    <w:p>
      <w:pPr>
        <w:spacing w:after="60" w:line="240" w:lineRule="auto"/>
      </w:pPr>
      <w:r>
        <w:rPr>
          <w:b w:val="0"/>
          <w:i w:val="0"/>
          <w:sz w:val="16"/>
        </w:rPr>
        <w:t>Measurement convention: unless a row states otherwise, all amounts and ratios are measured as of the Test Date. Use the Definitions Schedule (pages 4–5) for the controlling meaning of each term.</w:t>
      </w:r>
    </w:p>
    <w:p>
      <w:pPr>
        <w:spacing w:before="60" w:after="60"/>
      </w:pPr>
      <w:r>
        <w:rPr>
          <w:b/>
          <w:color w:val="1F4E79"/>
          <w:sz w:val="21"/>
        </w:rPr>
        <w:t>Borrowing base and availability</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523"/>
        <w:gridCol w:w="3523"/>
        <w:gridCol w:w="3523"/>
      </w:tblGrid>
      <w:tr>
        <w:tc>
          <w:tcPr>
            <w:tcW w:type="dxa" w:w="3096"/>
            <w:vAlign w:val="center"/>
            <w:shd w:fill="DCE6F1"/>
          </w:tcPr>
          <w:p>
            <w:pPr>
              <w:spacing w:after="0" w:before="0"/>
            </w:pPr>
            <w:r/>
            <w:r>
              <w:rPr>
                <w:b/>
                <w:sz w:val="15"/>
              </w:rPr>
              <w:t>Calculation</w:t>
            </w:r>
          </w:p>
        </w:tc>
        <w:tc>
          <w:tcPr>
            <w:tcW w:type="dxa" w:w="4032"/>
            <w:vAlign w:val="center"/>
            <w:shd w:fill="DCE6F1"/>
          </w:tcPr>
          <w:p>
            <w:pPr>
              <w:spacing w:after="0" w:before="0"/>
            </w:pPr>
            <w:r/>
            <w:r>
              <w:rPr>
                <w:b/>
                <w:sz w:val="15"/>
              </w:rPr>
              <w:t>Amount / formula</w:t>
            </w:r>
          </w:p>
        </w:tc>
        <w:tc>
          <w:tcPr>
            <w:tcW w:type="dxa" w:w="2520"/>
            <w:vAlign w:val="center"/>
            <w:shd w:fill="DCE6F1"/>
          </w:tcPr>
          <w:p>
            <w:pPr>
              <w:spacing w:after="0" w:before="0"/>
            </w:pPr>
            <w:r/>
            <w:r>
              <w:rPr>
                <w:b/>
                <w:sz w:val="15"/>
              </w:rPr>
              <w:t>Input or result</w:t>
            </w:r>
          </w:p>
        </w:tc>
      </w:tr>
      <w:tr>
        <w:tc>
          <w:tcPr>
            <w:tcW w:type="dxa" w:w="3096"/>
            <w:vAlign w:val="center"/>
          </w:tcPr>
          <w:p>
            <w:pPr>
              <w:spacing w:after="0" w:before="0"/>
            </w:pPr>
            <w:r/>
            <w:r>
              <w:rPr>
                <w:b w:val="0"/>
                <w:sz w:val="15"/>
              </w:rPr>
              <w:t>A. Eligible Lease Net Investment</w:t>
            </w:r>
          </w:p>
        </w:tc>
        <w:tc>
          <w:tcPr>
            <w:tcW w:type="dxa" w:w="4032"/>
            <w:vAlign w:val="center"/>
          </w:tcPr>
          <w:p>
            <w:pPr>
              <w:spacing w:after="0" w:before="0"/>
            </w:pPr>
            <w:r/>
            <w:r>
              <w:rPr>
                <w:b w:val="0"/>
                <w:sz w:val="15"/>
              </w:rPr>
              <w:t>See schedule; excludes Booked Residual Value</w:t>
            </w:r>
          </w:p>
        </w:tc>
        <w:tc>
          <w:tcPr>
            <w:tcW w:type="dxa" w:w="2520"/>
            <w:vAlign w:val="center"/>
          </w:tcPr>
          <w:p>
            <w:pPr>
              <w:spacing w:after="0" w:before="0"/>
            </w:pPr>
            <w:r/>
            <w:r>
              <w:rPr>
                <w:b w:val="0"/>
                <w:sz w:val="15"/>
              </w:rPr>
              <w:t xml:space="preserve"> $ __________________</w:t>
            </w:r>
          </w:p>
        </w:tc>
      </w:tr>
      <w:tr>
        <w:tc>
          <w:tcPr>
            <w:tcW w:type="dxa" w:w="3096"/>
            <w:vAlign w:val="center"/>
          </w:tcPr>
          <w:p>
            <w:pPr>
              <w:spacing w:after="0" w:before="0"/>
            </w:pPr>
            <w:r/>
            <w:r>
              <w:rPr>
                <w:b w:val="0"/>
                <w:sz w:val="15"/>
              </w:rPr>
              <w:t>B. Advance rate</w:t>
            </w:r>
          </w:p>
        </w:tc>
        <w:tc>
          <w:tcPr>
            <w:tcW w:type="dxa" w:w="4032"/>
            <w:vAlign w:val="center"/>
          </w:tcPr>
          <w:p>
            <w:pPr>
              <w:spacing w:after="0" w:before="0"/>
            </w:pPr>
            <w:r/>
            <w:r>
              <w:rPr>
                <w:b w:val="0"/>
                <w:sz w:val="15"/>
              </w:rPr>
              <w:t>85% × A</w:t>
            </w:r>
          </w:p>
        </w:tc>
        <w:tc>
          <w:tcPr>
            <w:tcW w:type="dxa" w:w="2520"/>
            <w:vAlign w:val="center"/>
          </w:tcPr>
          <w:p>
            <w:pPr>
              <w:spacing w:after="0" w:before="0"/>
            </w:pPr>
            <w:r/>
            <w:r>
              <w:rPr>
                <w:b w:val="0"/>
                <w:sz w:val="15"/>
              </w:rPr>
              <w:t xml:space="preserve"> $ __________________</w:t>
            </w:r>
          </w:p>
        </w:tc>
      </w:tr>
      <w:tr>
        <w:tc>
          <w:tcPr>
            <w:tcW w:type="dxa" w:w="3096"/>
            <w:vAlign w:val="center"/>
          </w:tcPr>
          <w:p>
            <w:pPr>
              <w:spacing w:after="0" w:before="0"/>
            </w:pPr>
            <w:r/>
            <w:r>
              <w:rPr>
                <w:b w:val="0"/>
                <w:sz w:val="15"/>
              </w:rPr>
              <w:t>C. Less: documented reserves / deductions</w:t>
            </w:r>
          </w:p>
        </w:tc>
        <w:tc>
          <w:tcPr>
            <w:tcW w:type="dxa" w:w="4032"/>
            <w:vAlign w:val="center"/>
          </w:tcPr>
          <w:p>
            <w:pPr>
              <w:spacing w:after="0" w:before="0"/>
            </w:pPr>
            <w:r/>
            <w:r>
              <w:rPr>
                <w:b w:val="0"/>
                <w:sz w:val="15"/>
              </w:rPr>
              <w:t>Only permitted, evidenced items</w:t>
            </w:r>
          </w:p>
        </w:tc>
        <w:tc>
          <w:tcPr>
            <w:tcW w:type="dxa" w:w="2520"/>
            <w:vAlign w:val="center"/>
          </w:tcPr>
          <w:p>
            <w:pPr>
              <w:spacing w:after="0" w:before="0"/>
            </w:pPr>
            <w:r/>
            <w:r>
              <w:rPr>
                <w:b w:val="0"/>
                <w:sz w:val="15"/>
              </w:rPr>
              <w:t>($ ________________)</w:t>
            </w:r>
          </w:p>
        </w:tc>
      </w:tr>
      <w:tr>
        <w:tc>
          <w:tcPr>
            <w:tcW w:type="dxa" w:w="3096"/>
            <w:vAlign w:val="center"/>
          </w:tcPr>
          <w:p>
            <w:pPr>
              <w:spacing w:after="0" w:before="0"/>
            </w:pPr>
            <w:r/>
            <w:r>
              <w:rPr>
                <w:b w:val="0"/>
                <w:sz w:val="15"/>
              </w:rPr>
              <w:t>D. Calculated borrowing base</w:t>
            </w:r>
          </w:p>
        </w:tc>
        <w:tc>
          <w:tcPr>
            <w:tcW w:type="dxa" w:w="4032"/>
            <w:vAlign w:val="center"/>
          </w:tcPr>
          <w:p>
            <w:pPr>
              <w:spacing w:after="0" w:before="0"/>
            </w:pPr>
            <w:r/>
            <w:r>
              <w:rPr>
                <w:b w:val="0"/>
                <w:sz w:val="15"/>
              </w:rPr>
              <w:t>B − C (not below zero)</w:t>
            </w:r>
          </w:p>
        </w:tc>
        <w:tc>
          <w:tcPr>
            <w:tcW w:type="dxa" w:w="2520"/>
            <w:vAlign w:val="center"/>
          </w:tcPr>
          <w:p>
            <w:pPr>
              <w:spacing w:after="0" w:before="0"/>
            </w:pPr>
            <w:r/>
            <w:r>
              <w:rPr>
                <w:b w:val="0"/>
                <w:sz w:val="15"/>
              </w:rPr>
              <w:t xml:space="preserve"> $ __________________</w:t>
            </w:r>
          </w:p>
        </w:tc>
      </w:tr>
      <w:tr>
        <w:tc>
          <w:tcPr>
            <w:tcW w:type="dxa" w:w="3096"/>
            <w:vAlign w:val="center"/>
          </w:tcPr>
          <w:p>
            <w:pPr>
              <w:spacing w:after="0" w:before="0"/>
            </w:pPr>
            <w:r/>
            <w:r>
              <w:rPr>
                <w:b w:val="0"/>
                <w:sz w:val="15"/>
              </w:rPr>
              <w:t>E. Facility cap</w:t>
            </w:r>
          </w:p>
        </w:tc>
        <w:tc>
          <w:tcPr>
            <w:tcW w:type="dxa" w:w="4032"/>
            <w:vAlign w:val="center"/>
          </w:tcPr>
          <w:p>
            <w:pPr>
              <w:spacing w:after="0" w:before="0"/>
            </w:pPr>
            <w:r/>
            <w:r>
              <w:rPr>
                <w:b w:val="0"/>
                <w:sz w:val="15"/>
              </w:rPr>
              <w:t>Fixed cap</w:t>
            </w:r>
          </w:p>
        </w:tc>
        <w:tc>
          <w:tcPr>
            <w:tcW w:type="dxa" w:w="2520"/>
            <w:vAlign w:val="center"/>
          </w:tcPr>
          <w:p>
            <w:pPr>
              <w:spacing w:after="0" w:before="0"/>
            </w:pPr>
            <w:r/>
            <w:r>
              <w:rPr>
                <w:b w:val="0"/>
                <w:sz w:val="15"/>
              </w:rPr>
              <w:t xml:space="preserve"> $25,000,000</w:t>
            </w:r>
          </w:p>
        </w:tc>
      </w:tr>
      <w:tr>
        <w:tc>
          <w:tcPr>
            <w:tcW w:type="dxa" w:w="3096"/>
            <w:vAlign w:val="center"/>
          </w:tcPr>
          <w:p>
            <w:pPr>
              <w:spacing w:after="0" w:before="0"/>
            </w:pPr>
            <w:r/>
            <w:r>
              <w:rPr>
                <w:b w:val="0"/>
                <w:sz w:val="15"/>
              </w:rPr>
              <w:t>F. Borrowing-base availability</w:t>
            </w:r>
          </w:p>
        </w:tc>
        <w:tc>
          <w:tcPr>
            <w:tcW w:type="dxa" w:w="4032"/>
            <w:vAlign w:val="center"/>
          </w:tcPr>
          <w:p>
            <w:pPr>
              <w:spacing w:after="0" w:before="0"/>
            </w:pPr>
            <w:r/>
            <w:r>
              <w:rPr>
                <w:b w:val="0"/>
                <w:sz w:val="15"/>
              </w:rPr>
              <w:t>Lower of D and E</w:t>
            </w:r>
          </w:p>
        </w:tc>
        <w:tc>
          <w:tcPr>
            <w:tcW w:type="dxa" w:w="2520"/>
            <w:vAlign w:val="center"/>
          </w:tcPr>
          <w:p>
            <w:pPr>
              <w:spacing w:after="0" w:before="0"/>
            </w:pPr>
            <w:r/>
            <w:r>
              <w:rPr>
                <w:b w:val="0"/>
                <w:sz w:val="15"/>
              </w:rPr>
              <w:t xml:space="preserve"> $ __________________</w:t>
            </w:r>
          </w:p>
        </w:tc>
      </w:tr>
      <w:tr>
        <w:tc>
          <w:tcPr>
            <w:tcW w:type="dxa" w:w="3096"/>
            <w:vAlign w:val="center"/>
          </w:tcPr>
          <w:p>
            <w:pPr>
              <w:spacing w:after="0" w:before="0"/>
            </w:pPr>
            <w:r/>
            <w:r>
              <w:rPr>
                <w:b w:val="0"/>
                <w:sz w:val="15"/>
              </w:rPr>
              <w:t>G. Outstanding warehouse obligations</w:t>
            </w:r>
          </w:p>
        </w:tc>
        <w:tc>
          <w:tcPr>
            <w:tcW w:type="dxa" w:w="4032"/>
            <w:vAlign w:val="center"/>
          </w:tcPr>
          <w:p>
            <w:pPr>
              <w:spacing w:after="0" w:before="0"/>
            </w:pPr>
            <w:r/>
            <w:r>
              <w:rPr>
                <w:b w:val="0"/>
                <w:sz w:val="15"/>
              </w:rPr>
              <w:t>Principal, funded interest and other secured obligations at Test Date</w:t>
            </w:r>
          </w:p>
        </w:tc>
        <w:tc>
          <w:tcPr>
            <w:tcW w:type="dxa" w:w="2520"/>
            <w:vAlign w:val="center"/>
          </w:tcPr>
          <w:p>
            <w:pPr>
              <w:spacing w:after="0" w:before="0"/>
            </w:pPr>
            <w:r/>
            <w:r>
              <w:rPr>
                <w:b w:val="0"/>
                <w:sz w:val="15"/>
              </w:rPr>
              <w:t xml:space="preserve"> $ __________________</w:t>
            </w:r>
          </w:p>
        </w:tc>
      </w:tr>
      <w:tr>
        <w:tc>
          <w:tcPr>
            <w:tcW w:type="dxa" w:w="3096"/>
            <w:vAlign w:val="center"/>
          </w:tcPr>
          <w:p>
            <w:pPr>
              <w:spacing w:after="0" w:before="0"/>
            </w:pPr>
            <w:r/>
            <w:r>
              <w:rPr>
                <w:b w:val="0"/>
                <w:sz w:val="15"/>
              </w:rPr>
              <w:t>H. Excess availability / headroom</w:t>
            </w:r>
          </w:p>
        </w:tc>
        <w:tc>
          <w:tcPr>
            <w:tcW w:type="dxa" w:w="4032"/>
            <w:vAlign w:val="center"/>
          </w:tcPr>
          <w:p>
            <w:pPr>
              <w:spacing w:after="0" w:before="0"/>
            </w:pPr>
            <w:r/>
            <w:r>
              <w:rPr>
                <w:b w:val="0"/>
                <w:sz w:val="15"/>
              </w:rPr>
              <w:t>F − G; if negative, show $0 availability and a separate deficiency</w:t>
            </w:r>
          </w:p>
        </w:tc>
        <w:tc>
          <w:tcPr>
            <w:tcW w:type="dxa" w:w="2520"/>
            <w:vAlign w:val="center"/>
          </w:tcPr>
          <w:p>
            <w:pPr>
              <w:spacing w:after="0" w:before="0"/>
            </w:pPr>
            <w:r/>
            <w:r>
              <w:rPr>
                <w:b w:val="0"/>
                <w:sz w:val="15"/>
              </w:rPr>
              <w:t xml:space="preserve"> $ __________________ / deficiency $ __________</w:t>
            </w:r>
          </w:p>
        </w:tc>
      </w:tr>
    </w:tbl>
    <w:p>
      <w:pPr>
        <w:spacing w:after="60" w:line="240" w:lineRule="auto"/>
      </w:pPr>
      <w:r>
        <w:rPr>
          <w:b/>
          <w:i w:val="0"/>
          <w:color w:val="9C0006"/>
          <w:sz w:val="16"/>
        </w:rPr>
        <w:t>Residual control: Booked Residual Value is reported separately below and is not included in A, B, D, F, or the delinquency denominator. It is not cash currently due from a lessee. Do not move it into past-due lessee receivables merely because it is booked as an asset.</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642"/>
        <w:gridCol w:w="2642"/>
        <w:gridCol w:w="2642"/>
        <w:gridCol w:w="2642"/>
      </w:tblGrid>
      <w:tr>
        <w:tc>
          <w:tcPr>
            <w:tcW w:type="dxa" w:w="2304"/>
            <w:vAlign w:val="center"/>
            <w:shd w:fill="DCE6F1"/>
          </w:tcPr>
          <w:p>
            <w:pPr>
              <w:spacing w:after="0" w:before="0"/>
            </w:pPr>
            <w:r/>
            <w:r>
              <w:rPr>
                <w:b/>
                <w:sz w:val="15"/>
              </w:rPr>
              <w:t>Covenant</w:t>
            </w:r>
          </w:p>
        </w:tc>
        <w:tc>
          <w:tcPr>
            <w:tcW w:type="dxa" w:w="2952"/>
            <w:vAlign w:val="center"/>
            <w:shd w:fill="DCE6F1"/>
          </w:tcPr>
          <w:p>
            <w:pPr>
              <w:spacing w:after="0" w:before="0"/>
            </w:pPr>
            <w:r/>
            <w:r>
              <w:rPr>
                <w:b/>
                <w:sz w:val="15"/>
              </w:rPr>
              <w:t>Actual result</w:t>
            </w:r>
          </w:p>
        </w:tc>
        <w:tc>
          <w:tcPr>
            <w:tcW w:type="dxa" w:w="2232"/>
            <w:vAlign w:val="center"/>
            <w:shd w:fill="DCE6F1"/>
          </w:tcPr>
          <w:p>
            <w:pPr>
              <w:spacing w:after="0" w:before="0"/>
            </w:pPr>
            <w:r/>
            <w:r>
              <w:rPr>
                <w:b/>
                <w:sz w:val="15"/>
              </w:rPr>
              <w:t>Threshold</w:t>
            </w:r>
          </w:p>
        </w:tc>
        <w:tc>
          <w:tcPr>
            <w:tcW w:type="dxa" w:w="3024"/>
            <w:vAlign w:val="center"/>
            <w:shd w:fill="DCE6F1"/>
          </w:tcPr>
          <w:p>
            <w:pPr>
              <w:spacing w:after="0" w:before="0"/>
            </w:pPr>
            <w:r/>
            <w:r>
              <w:rPr>
                <w:b/>
                <w:sz w:val="15"/>
              </w:rPr>
              <w:t>Status (select one)</w:t>
            </w:r>
          </w:p>
        </w:tc>
      </w:tr>
      <w:tr>
        <w:tc>
          <w:tcPr>
            <w:tcW w:type="dxa" w:w="2304"/>
            <w:vAlign w:val="center"/>
          </w:tcPr>
          <w:p>
            <w:pPr>
              <w:spacing w:after="0" w:before="0"/>
            </w:pPr>
            <w:r/>
            <w:r>
              <w:rPr>
                <w:b w:val="0"/>
                <w:sz w:val="15"/>
              </w:rPr>
              <w:t>Availability / borrowing base</w:t>
            </w:r>
          </w:p>
        </w:tc>
        <w:tc>
          <w:tcPr>
            <w:tcW w:type="dxa" w:w="2952"/>
            <w:vAlign w:val="center"/>
          </w:tcPr>
          <w:p>
            <w:pPr>
              <w:spacing w:after="0" w:before="0"/>
            </w:pPr>
            <w:r/>
            <w:r>
              <w:rPr>
                <w:b w:val="0"/>
                <w:sz w:val="15"/>
              </w:rPr>
              <w:t>F = $ __________ ; headroom $ __________</w:t>
            </w:r>
          </w:p>
        </w:tc>
        <w:tc>
          <w:tcPr>
            <w:tcW w:type="dxa" w:w="2232"/>
            <w:vAlign w:val="center"/>
          </w:tcPr>
          <w:p>
            <w:pPr>
              <w:spacing w:after="0" w:before="0"/>
            </w:pPr>
            <w:r/>
            <w:r>
              <w:rPr>
                <w:b w:val="0"/>
                <w:sz w:val="15"/>
              </w:rPr>
              <w:t>No negative availability; cap $25m</w:t>
            </w:r>
          </w:p>
        </w:tc>
        <w:tc>
          <w:tcPr>
            <w:tcW w:type="dxa" w:w="3024"/>
            <w:vAlign w:val="center"/>
          </w:tcPr>
          <w:p>
            <w:pPr>
              <w:spacing w:after="0" w:before="0"/>
            </w:pPr>
            <w:r/>
            <w:r>
              <w:rPr>
                <w:b w:val="0"/>
                <w:sz w:val="15"/>
              </w:rPr>
              <w:t>☐ Compliant  ☐ Non-compliant  ☐ Cure-pending ☐ N/A</w:t>
            </w:r>
          </w:p>
        </w:tc>
      </w:tr>
      <w:tr>
        <w:tc>
          <w:tcPr>
            <w:tcW w:type="dxa" w:w="2304"/>
            <w:vAlign w:val="center"/>
          </w:tcPr>
          <w:p>
            <w:pPr>
              <w:spacing w:after="0" w:before="0"/>
            </w:pPr>
            <w:r/>
            <w:r>
              <w:rPr>
                <w:b w:val="0"/>
                <w:sz w:val="15"/>
              </w:rPr>
              <w:t>Delinquency Ratio</w:t>
            </w:r>
          </w:p>
        </w:tc>
        <w:tc>
          <w:tcPr>
            <w:tcW w:type="dxa" w:w="2952"/>
            <w:vAlign w:val="center"/>
          </w:tcPr>
          <w:p>
            <w:pPr>
              <w:spacing w:after="0" w:before="0"/>
            </w:pPr>
            <w:r/>
            <w:r>
              <w:rPr>
                <w:b w:val="0"/>
                <w:sz w:val="15"/>
              </w:rPr>
              <w:t>________ %</w:t>
            </w:r>
          </w:p>
        </w:tc>
        <w:tc>
          <w:tcPr>
            <w:tcW w:type="dxa" w:w="2232"/>
            <w:vAlign w:val="center"/>
          </w:tcPr>
          <w:p>
            <w:pPr>
              <w:spacing w:after="0" w:before="0"/>
            </w:pPr>
            <w:r/>
            <w:r>
              <w:rPr>
                <w:b w:val="0"/>
                <w:sz w:val="15"/>
              </w:rPr>
              <w:t>Maximum 5.0%</w:t>
            </w:r>
          </w:p>
        </w:tc>
        <w:tc>
          <w:tcPr>
            <w:tcW w:type="dxa" w:w="3024"/>
            <w:vAlign w:val="center"/>
          </w:tcPr>
          <w:p>
            <w:pPr>
              <w:spacing w:after="0" w:before="0"/>
            </w:pPr>
            <w:r/>
            <w:r>
              <w:rPr>
                <w:b w:val="0"/>
                <w:sz w:val="15"/>
              </w:rPr>
              <w:t>☐ Compliant  ☐ Non-compliant  ☐ Cure-pending ☐ N/A</w:t>
            </w:r>
          </w:p>
        </w:tc>
      </w:tr>
      <w:tr>
        <w:tc>
          <w:tcPr>
            <w:tcW w:type="dxa" w:w="2304"/>
            <w:vAlign w:val="center"/>
          </w:tcPr>
          <w:p>
            <w:pPr>
              <w:spacing w:after="0" w:before="0"/>
            </w:pPr>
            <w:r/>
            <w:r>
              <w:rPr>
                <w:b w:val="0"/>
                <w:sz w:val="15"/>
              </w:rPr>
              <w:t>Fixed-Charge Coverage</w:t>
            </w:r>
          </w:p>
        </w:tc>
        <w:tc>
          <w:tcPr>
            <w:tcW w:type="dxa" w:w="2952"/>
            <w:vAlign w:val="center"/>
          </w:tcPr>
          <w:p>
            <w:pPr>
              <w:spacing w:after="0" w:before="0"/>
            </w:pPr>
            <w:r/>
            <w:r>
              <w:rPr>
                <w:b w:val="0"/>
                <w:sz w:val="15"/>
              </w:rPr>
              <w:t>________ x</w:t>
            </w:r>
          </w:p>
        </w:tc>
        <w:tc>
          <w:tcPr>
            <w:tcW w:type="dxa" w:w="2232"/>
            <w:vAlign w:val="center"/>
          </w:tcPr>
          <w:p>
            <w:pPr>
              <w:spacing w:after="0" w:before="0"/>
            </w:pPr>
            <w:r/>
            <w:r>
              <w:rPr>
                <w:b w:val="0"/>
                <w:sz w:val="15"/>
              </w:rPr>
              <w:t>Minimum 1.20x</w:t>
            </w:r>
          </w:p>
        </w:tc>
        <w:tc>
          <w:tcPr>
            <w:tcW w:type="dxa" w:w="3024"/>
            <w:vAlign w:val="center"/>
          </w:tcPr>
          <w:p>
            <w:pPr>
              <w:spacing w:after="0" w:before="0"/>
            </w:pPr>
            <w:r/>
            <w:r>
              <w:rPr>
                <w:b w:val="0"/>
                <w:sz w:val="15"/>
              </w:rPr>
              <w:t>☐ Compliant  ☐ Non-compliant  ☐ Cure-pending ☐ N/A</w:t>
            </w:r>
          </w:p>
        </w:tc>
      </w:tr>
    </w:tbl>
    <w:p>
      <w:pPr>
        <w:spacing w:before="60" w:after="60"/>
      </w:pPr>
      <w:r>
        <w:rPr>
          <w:b/>
          <w:color w:val="1F4E79"/>
          <w:sz w:val="21"/>
        </w:rPr>
        <w:t>Delinquency calculation</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523"/>
        <w:gridCol w:w="3523"/>
        <w:gridCol w:w="3523"/>
      </w:tblGrid>
      <w:tr>
        <w:tc>
          <w:tcPr>
            <w:tcW w:type="dxa" w:w="1944"/>
            <w:vAlign w:val="center"/>
            <w:shd w:fill="DCE6F1"/>
          </w:tcPr>
          <w:p>
            <w:pPr>
              <w:spacing w:after="0" w:before="0"/>
            </w:pPr>
            <w:r/>
            <w:r>
              <w:rPr>
                <w:b/>
                <w:sz w:val="15"/>
              </w:rPr>
              <w:t>Line</w:t>
            </w:r>
          </w:p>
        </w:tc>
        <w:tc>
          <w:tcPr>
            <w:tcW w:type="dxa" w:w="5616"/>
            <w:vAlign w:val="center"/>
            <w:shd w:fill="DCE6F1"/>
          </w:tcPr>
          <w:p>
            <w:pPr>
              <w:spacing w:after="0" w:before="0"/>
            </w:pPr>
            <w:r/>
            <w:r>
              <w:rPr>
                <w:b/>
                <w:sz w:val="15"/>
              </w:rPr>
              <w:t>Description</w:t>
            </w:r>
          </w:p>
        </w:tc>
        <w:tc>
          <w:tcPr>
            <w:tcW w:type="dxa" w:w="1656"/>
            <w:vAlign w:val="center"/>
            <w:shd w:fill="DCE6F1"/>
          </w:tcPr>
          <w:p>
            <w:pPr>
              <w:spacing w:after="0" w:before="0"/>
            </w:pPr>
            <w:r/>
            <w:r>
              <w:rPr>
                <w:b/>
                <w:sz w:val="15"/>
              </w:rPr>
              <w:t>Value</w:t>
            </w:r>
          </w:p>
        </w:tc>
      </w:tr>
      <w:tr>
        <w:tc>
          <w:tcPr>
            <w:tcW w:type="dxa" w:w="1944"/>
            <w:vAlign w:val="center"/>
          </w:tcPr>
          <w:p>
            <w:pPr>
              <w:spacing w:after="0" w:before="0"/>
            </w:pPr>
            <w:r/>
            <w:r>
              <w:rPr>
                <w:b w:val="0"/>
                <w:sz w:val="15"/>
              </w:rPr>
              <w:t>Numerator</w:t>
            </w:r>
          </w:p>
        </w:tc>
        <w:tc>
          <w:tcPr>
            <w:tcW w:type="dxa" w:w="5616"/>
            <w:vAlign w:val="center"/>
          </w:tcPr>
          <w:p>
            <w:pPr>
              <w:spacing w:after="0" w:before="0"/>
            </w:pPr>
            <w:r/>
            <w:r>
              <w:rPr>
                <w:b w:val="0"/>
                <w:sz w:val="15"/>
              </w:rPr>
              <w:t>Delinquent Eligible Lease exposure as of Test Date (objective aging/missed-payment test)</w:t>
            </w:r>
          </w:p>
        </w:tc>
        <w:tc>
          <w:tcPr>
            <w:tcW w:type="dxa" w:w="1656"/>
            <w:vAlign w:val="center"/>
          </w:tcPr>
          <w:p>
            <w:pPr>
              <w:spacing w:after="0" w:before="0"/>
            </w:pPr>
            <w:r/>
            <w:r>
              <w:rPr>
                <w:b w:val="0"/>
                <w:sz w:val="15"/>
              </w:rPr>
              <w:t xml:space="preserve"> $ __________________</w:t>
            </w:r>
          </w:p>
        </w:tc>
      </w:tr>
      <w:tr>
        <w:tc>
          <w:tcPr>
            <w:tcW w:type="dxa" w:w="1944"/>
            <w:vAlign w:val="center"/>
          </w:tcPr>
          <w:p>
            <w:pPr>
              <w:spacing w:after="0" w:before="0"/>
            </w:pPr>
            <w:r/>
            <w:r>
              <w:rPr>
                <w:b w:val="0"/>
                <w:sz w:val="15"/>
              </w:rPr>
              <w:t>Denominator</w:t>
            </w:r>
          </w:p>
        </w:tc>
        <w:tc>
          <w:tcPr>
            <w:tcW w:type="dxa" w:w="5616"/>
            <w:vAlign w:val="center"/>
          </w:tcPr>
          <w:p>
            <w:pPr>
              <w:spacing w:after="0" w:before="0"/>
            </w:pPr>
            <w:r/>
            <w:r>
              <w:rPr>
                <w:b w:val="0"/>
                <w:sz w:val="15"/>
              </w:rPr>
              <w:t>Eligible Lease exposure base as of same Test Date; excludes Booked Residual Value and same exclusions as A</w:t>
            </w:r>
          </w:p>
        </w:tc>
        <w:tc>
          <w:tcPr>
            <w:tcW w:type="dxa" w:w="1656"/>
            <w:vAlign w:val="center"/>
          </w:tcPr>
          <w:p>
            <w:pPr>
              <w:spacing w:after="0" w:before="0"/>
            </w:pPr>
            <w:r/>
            <w:r>
              <w:rPr>
                <w:b w:val="0"/>
                <w:sz w:val="15"/>
              </w:rPr>
              <w:t xml:space="preserve"> $ __________________</w:t>
            </w:r>
          </w:p>
        </w:tc>
      </w:tr>
      <w:tr>
        <w:tc>
          <w:tcPr>
            <w:tcW w:type="dxa" w:w="1944"/>
            <w:vAlign w:val="center"/>
          </w:tcPr>
          <w:p>
            <w:pPr>
              <w:spacing w:after="0" w:before="0"/>
            </w:pPr>
            <w:r/>
            <w:r>
              <w:rPr>
                <w:b w:val="0"/>
                <w:sz w:val="15"/>
              </w:rPr>
              <w:t>Ratio</w:t>
            </w:r>
          </w:p>
        </w:tc>
        <w:tc>
          <w:tcPr>
            <w:tcW w:type="dxa" w:w="5616"/>
            <w:vAlign w:val="center"/>
          </w:tcPr>
          <w:p>
            <w:pPr>
              <w:spacing w:after="0" w:before="0"/>
            </w:pPr>
            <w:r/>
            <w:r>
              <w:rPr>
                <w:b w:val="0"/>
                <w:sz w:val="15"/>
              </w:rPr>
              <w:t>Numerator ÷ Denominator × 100</w:t>
            </w:r>
          </w:p>
        </w:tc>
        <w:tc>
          <w:tcPr>
            <w:tcW w:type="dxa" w:w="1656"/>
            <w:vAlign w:val="center"/>
          </w:tcPr>
          <w:p>
            <w:pPr>
              <w:spacing w:after="0" w:before="0"/>
            </w:pPr>
            <w:r/>
            <w:r>
              <w:rPr>
                <w:b w:val="0"/>
                <w:sz w:val="15"/>
              </w:rPr>
              <w:t xml:space="preserve"> __________ %</w:t>
            </w:r>
          </w:p>
        </w:tc>
      </w:tr>
    </w:tbl>
    <w:p>
      <w:pPr>
        <w:spacing w:after="60" w:line="240" w:lineRule="auto"/>
      </w:pPr>
      <w:r>
        <w:rPr>
          <w:b w:val="0"/>
          <w:i w:val="0"/>
          <w:sz w:val="16"/>
        </w:rPr>
        <w:t>Use the agreed aging convention consistently: an installment is delinquent when contractually due and unpaid for more than 30 calendar days as of the Test Date (or the executed agreement’s stricter convention, if applicable). Extensions, restructurings, capitalization or re-aging undertaken primarily to conceal delinquency do not restore eligibility without specialist review.</w:t>
      </w:r>
    </w:p>
    <w:p>
      <w:r>
        <w:br w:type="page"/>
      </w:r>
    </w:p>
    <w:p>
      <w:pPr>
        <w:spacing w:before="60" w:after="60"/>
      </w:pPr>
      <w:r>
        <w:rPr>
          <w:b/>
          <w:color w:val="1F4E79"/>
          <w:sz w:val="28"/>
        </w:rPr>
        <w:t>3. Fixed-charge coverage and equity cure</w:t>
      </w:r>
    </w:p>
    <w:p>
      <w:pPr>
        <w:spacing w:before="60" w:after="60"/>
      </w:pPr>
      <w:r>
        <w:rPr>
          <w:b/>
          <w:color w:val="1F4E79"/>
          <w:sz w:val="21"/>
        </w:rPr>
        <w:t>Adjusted EBITDA schedule (actual period)</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523"/>
        <w:gridCol w:w="3523"/>
        <w:gridCol w:w="3523"/>
      </w:tblGrid>
      <w:tr>
        <w:tc>
          <w:tcPr>
            <w:tcW w:type="dxa" w:w="2376"/>
            <w:vAlign w:val="center"/>
            <w:shd w:fill="DCE6F1"/>
          </w:tcPr>
          <w:p>
            <w:pPr>
              <w:spacing w:after="0" w:before="0"/>
            </w:pPr>
            <w:r/>
            <w:r>
              <w:rPr>
                <w:b/>
                <w:sz w:val="14"/>
              </w:rPr>
              <w:t>Line</w:t>
            </w:r>
          </w:p>
        </w:tc>
        <w:tc>
          <w:tcPr>
            <w:tcW w:type="dxa" w:w="5904"/>
            <w:vAlign w:val="center"/>
            <w:shd w:fill="DCE6F1"/>
          </w:tcPr>
          <w:p>
            <w:pPr>
              <w:spacing w:after="0" w:before="0"/>
            </w:pPr>
            <w:r/>
            <w:r>
              <w:rPr>
                <w:b/>
                <w:sz w:val="14"/>
              </w:rPr>
              <w:t>Required entry / support</w:t>
            </w:r>
          </w:p>
        </w:tc>
        <w:tc>
          <w:tcPr>
            <w:tcW w:type="dxa" w:w="1440"/>
            <w:vAlign w:val="center"/>
            <w:shd w:fill="DCE6F1"/>
          </w:tcPr>
          <w:p>
            <w:pPr>
              <w:spacing w:after="0" w:before="0"/>
            </w:pPr>
            <w:r/>
            <w:r>
              <w:rPr>
                <w:b/>
                <w:sz w:val="14"/>
              </w:rPr>
              <w:t>Amount</w:t>
            </w:r>
          </w:p>
        </w:tc>
      </w:tr>
      <w:tr>
        <w:tc>
          <w:tcPr>
            <w:tcW w:type="dxa" w:w="2376"/>
            <w:vAlign w:val="center"/>
          </w:tcPr>
          <w:p>
            <w:pPr>
              <w:spacing w:after="0" w:before="0"/>
            </w:pPr>
            <w:r/>
            <w:r>
              <w:rPr>
                <w:b w:val="0"/>
                <w:sz w:val="14"/>
              </w:rPr>
              <w:t>Starting accounting measure</w:t>
            </w:r>
          </w:p>
        </w:tc>
        <w:tc>
          <w:tcPr>
            <w:tcW w:type="dxa" w:w="5904"/>
            <w:vAlign w:val="center"/>
          </w:tcPr>
          <w:p>
            <w:pPr>
              <w:spacing w:after="0" w:before="0"/>
            </w:pPr>
            <w:r/>
            <w:r>
              <w:rPr>
                <w:b w:val="0"/>
                <w:sz w:val="14"/>
              </w:rPr>
              <w:t>Net income (loss) for the same measurement period, per ledger / financial statements</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Permitted adjustment 1</w:t>
            </w:r>
          </w:p>
        </w:tc>
        <w:tc>
          <w:tcPr>
            <w:tcW w:type="dxa" w:w="5904"/>
            <w:vAlign w:val="center"/>
          </w:tcPr>
          <w:p>
            <w:pPr>
              <w:spacing w:after="0" w:before="0"/>
            </w:pPr>
            <w:r/>
            <w:r>
              <w:rPr>
                <w:b w:val="0"/>
                <w:sz w:val="14"/>
              </w:rPr>
              <w:t>Category and rationale: __________________  Evidence ref: __________  Reviewer initials: ____</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Permitted adjustment 2</w:t>
            </w:r>
          </w:p>
        </w:tc>
        <w:tc>
          <w:tcPr>
            <w:tcW w:type="dxa" w:w="5904"/>
            <w:vAlign w:val="center"/>
          </w:tcPr>
          <w:p>
            <w:pPr>
              <w:spacing w:after="0" w:before="0"/>
            </w:pPr>
            <w:r/>
            <w:r>
              <w:rPr>
                <w:b w:val="0"/>
                <w:sz w:val="14"/>
              </w:rPr>
              <w:t>Category and rationale: __________________  Evidence ref: __________  Reviewer initials: ____</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Permitted adjustment 3</w:t>
            </w:r>
          </w:p>
        </w:tc>
        <w:tc>
          <w:tcPr>
            <w:tcW w:type="dxa" w:w="5904"/>
            <w:vAlign w:val="center"/>
          </w:tcPr>
          <w:p>
            <w:pPr>
              <w:spacing w:after="0" w:before="0"/>
            </w:pPr>
            <w:r/>
            <w:r>
              <w:rPr>
                <w:b w:val="0"/>
                <w:sz w:val="14"/>
              </w:rPr>
              <w:t>Category and rationale: __________________  Evidence ref: __________  Reviewer initials: ____</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Total permitted adjustments</w:t>
            </w:r>
          </w:p>
        </w:tc>
        <w:tc>
          <w:tcPr>
            <w:tcW w:type="dxa" w:w="5904"/>
            <w:vAlign w:val="center"/>
          </w:tcPr>
          <w:p>
            <w:pPr>
              <w:spacing w:after="0" w:before="0"/>
            </w:pPr>
            <w:r/>
            <w:r>
              <w:rPr>
                <w:b w:val="0"/>
                <w:sz w:val="14"/>
              </w:rPr>
              <w:t>Sum of separately described rows only</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Covenant Adjusted EBITDA</w:t>
            </w:r>
          </w:p>
        </w:tc>
        <w:tc>
          <w:tcPr>
            <w:tcW w:type="dxa" w:w="5904"/>
            <w:vAlign w:val="center"/>
          </w:tcPr>
          <w:p>
            <w:pPr>
              <w:spacing w:after="0" w:before="0"/>
            </w:pPr>
            <w:r/>
            <w:r>
              <w:rPr>
                <w:b w:val="0"/>
                <w:sz w:val="14"/>
              </w:rPr>
              <w:t>Starting measure + total permitted adjustments</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Board-pack EBITDA (informational)</w:t>
            </w:r>
          </w:p>
        </w:tc>
        <w:tc>
          <w:tcPr>
            <w:tcW w:type="dxa" w:w="5904"/>
            <w:vAlign w:val="center"/>
          </w:tcPr>
          <w:p>
            <w:pPr>
              <w:spacing w:after="0" w:before="0"/>
            </w:pPr>
            <w:r/>
            <w:r>
              <w:rPr>
                <w:b w:val="0"/>
                <w:sz w:val="14"/>
              </w:rPr>
              <w:t>As reported in board pack, if available</w:t>
            </w:r>
          </w:p>
        </w:tc>
        <w:tc>
          <w:tcPr>
            <w:tcW w:type="dxa" w:w="1440"/>
            <w:vAlign w:val="center"/>
          </w:tcPr>
          <w:p>
            <w:pPr>
              <w:spacing w:after="0" w:before="0"/>
            </w:pPr>
            <w:r/>
            <w:r>
              <w:rPr>
                <w:b w:val="0"/>
                <w:sz w:val="14"/>
              </w:rPr>
              <w:t xml:space="preserve"> $ __________________</w:t>
            </w:r>
          </w:p>
        </w:tc>
      </w:tr>
      <w:tr>
        <w:tc>
          <w:tcPr>
            <w:tcW w:type="dxa" w:w="2376"/>
            <w:vAlign w:val="center"/>
          </w:tcPr>
          <w:p>
            <w:pPr>
              <w:spacing w:after="0" w:before="0"/>
            </w:pPr>
            <w:r/>
            <w:r>
              <w:rPr>
                <w:b w:val="0"/>
                <w:sz w:val="14"/>
              </w:rPr>
              <w:t>Bridge: board to covenant</w:t>
            </w:r>
          </w:p>
        </w:tc>
        <w:tc>
          <w:tcPr>
            <w:tcW w:type="dxa" w:w="5904"/>
            <w:vAlign w:val="center"/>
          </w:tcPr>
          <w:p>
            <w:pPr>
              <w:spacing w:after="0" w:before="0"/>
            </w:pPr>
            <w:r/>
            <w:r>
              <w:rPr>
                <w:b w:val="0"/>
                <w:sz w:val="14"/>
              </w:rPr>
              <w:t>Board-pack measure less/add: each difference identified and supported; do not assume equality</w:t>
            </w:r>
          </w:p>
        </w:tc>
        <w:tc>
          <w:tcPr>
            <w:tcW w:type="dxa" w:w="1440"/>
            <w:vAlign w:val="center"/>
          </w:tcPr>
          <w:p>
            <w:pPr>
              <w:spacing w:after="0" w:before="0"/>
            </w:pPr>
            <w:r/>
            <w:r>
              <w:rPr>
                <w:b w:val="0"/>
                <w:sz w:val="14"/>
              </w:rPr>
              <w:t xml:space="preserve"> $ __________________</w:t>
            </w:r>
          </w:p>
        </w:tc>
      </w:tr>
    </w:tbl>
    <w:p>
      <w:pPr>
        <w:spacing w:after="60" w:line="240" w:lineRule="auto"/>
      </w:pPr>
      <w:r>
        <w:rPr>
          <w:b/>
          <w:i w:val="0"/>
          <w:sz w:val="15"/>
        </w:rPr>
        <w:t>Adjustment control: each add-back must be separately described, quantified, supported and reviewed. The controlling measure is covenant Adjusted EBITDA, not “the same EBITDA as the board pack.” Projected savings, synergies, discretionary add-backs and recurring operating costs are not automatic adjustments; escalate any proposed item without an executed definition and objective support. Do not double count an item in EBITDA and again by reducing Fixed Charges.</w:t>
      </w:r>
    </w:p>
    <w:p>
      <w:pPr>
        <w:spacing w:before="60" w:after="60"/>
      </w:pPr>
      <w:r>
        <w:rPr>
          <w:b/>
          <w:color w:val="1F4E79"/>
          <w:sz w:val="21"/>
        </w:rPr>
        <w:t>Fixed Charges and coverage</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523"/>
        <w:gridCol w:w="3523"/>
        <w:gridCol w:w="3523"/>
      </w:tblGrid>
      <w:tr>
        <w:tc>
          <w:tcPr>
            <w:tcW w:type="dxa" w:w="3096"/>
            <w:vAlign w:val="center"/>
            <w:shd w:fill="DCE6F1"/>
          </w:tcPr>
          <w:p>
            <w:pPr>
              <w:spacing w:after="0" w:before="0"/>
            </w:pPr>
            <w:r/>
            <w:r>
              <w:rPr>
                <w:b/>
                <w:sz w:val="14"/>
              </w:rPr>
              <w:t>Line</w:t>
            </w:r>
          </w:p>
        </w:tc>
        <w:tc>
          <w:tcPr>
            <w:tcW w:type="dxa" w:w="5472"/>
            <w:vAlign w:val="center"/>
            <w:shd w:fill="DCE6F1"/>
          </w:tcPr>
          <w:p>
            <w:pPr>
              <w:spacing w:after="0" w:before="0"/>
            </w:pPr>
            <w:r/>
            <w:r>
              <w:rPr>
                <w:b/>
                <w:sz w:val="14"/>
              </w:rPr>
              <w:t>Same measurement period as EBITDA</w:t>
            </w:r>
          </w:p>
        </w:tc>
        <w:tc>
          <w:tcPr>
            <w:tcW w:type="dxa" w:w="1152"/>
            <w:vAlign w:val="center"/>
            <w:shd w:fill="DCE6F1"/>
          </w:tcPr>
          <w:p>
            <w:pPr>
              <w:spacing w:after="0" w:before="0"/>
            </w:pPr>
            <w:r/>
            <w:r>
              <w:rPr>
                <w:b/>
                <w:sz w:val="14"/>
              </w:rPr>
              <w:t>Amount</w:t>
            </w:r>
          </w:p>
        </w:tc>
      </w:tr>
      <w:tr>
        <w:tc>
          <w:tcPr>
            <w:tcW w:type="dxa" w:w="3096"/>
            <w:vAlign w:val="center"/>
          </w:tcPr>
          <w:p>
            <w:pPr>
              <w:spacing w:after="0" w:before="0"/>
            </w:pPr>
            <w:r/>
            <w:r>
              <w:rPr>
                <w:b w:val="0"/>
                <w:sz w:val="14"/>
              </w:rPr>
              <w:t>Cash interest and financing charges</w:t>
            </w:r>
          </w:p>
        </w:tc>
        <w:tc>
          <w:tcPr>
            <w:tcW w:type="dxa" w:w="5472"/>
            <w:vAlign w:val="center"/>
          </w:tcPr>
          <w:p>
            <w:pPr>
              <w:spacing w:after="0" w:before="0"/>
            </w:pPr>
            <w:r/>
            <w:r>
              <w:rPr>
                <w:b w:val="0"/>
                <w:sz w:val="14"/>
              </w:rPr>
              <w:t>Include accrued/cash interest and equivalent financing cost</w:t>
            </w:r>
          </w:p>
        </w:tc>
        <w:tc>
          <w:tcPr>
            <w:tcW w:type="dxa" w:w="1152"/>
            <w:vAlign w:val="center"/>
          </w:tcPr>
          <w:p>
            <w:pPr>
              <w:spacing w:after="0" w:before="0"/>
            </w:pPr>
            <w:r/>
            <w:r>
              <w:rPr>
                <w:b w:val="0"/>
                <w:sz w:val="14"/>
              </w:rPr>
              <w:t xml:space="preserve"> $ __________________</w:t>
            </w:r>
          </w:p>
        </w:tc>
      </w:tr>
      <w:tr>
        <w:tc>
          <w:tcPr>
            <w:tcW w:type="dxa" w:w="3096"/>
            <w:vAlign w:val="center"/>
          </w:tcPr>
          <w:p>
            <w:pPr>
              <w:spacing w:after="0" w:before="0"/>
            </w:pPr>
            <w:r/>
            <w:r>
              <w:rPr>
                <w:b w:val="0"/>
                <w:sz w:val="14"/>
              </w:rPr>
              <w:t>Scheduled principal / equivalent payments</w:t>
            </w:r>
          </w:p>
        </w:tc>
        <w:tc>
          <w:tcPr>
            <w:tcW w:type="dxa" w:w="5472"/>
            <w:vAlign w:val="center"/>
          </w:tcPr>
          <w:p>
            <w:pPr>
              <w:spacing w:after="0" w:before="0"/>
            </w:pPr>
            <w:r/>
            <w:r>
              <w:rPr>
                <w:b w:val="0"/>
                <w:sz w:val="14"/>
              </w:rPr>
              <w:t>Due in the period, excluding voluntary prepayments unless required</w:t>
            </w:r>
          </w:p>
        </w:tc>
        <w:tc>
          <w:tcPr>
            <w:tcW w:type="dxa" w:w="1152"/>
            <w:vAlign w:val="center"/>
          </w:tcPr>
          <w:p>
            <w:pPr>
              <w:spacing w:after="0" w:before="0"/>
            </w:pPr>
            <w:r/>
            <w:r>
              <w:rPr>
                <w:b w:val="0"/>
                <w:sz w:val="14"/>
              </w:rPr>
              <w:t xml:space="preserve"> $ __________________</w:t>
            </w:r>
          </w:p>
        </w:tc>
      </w:tr>
      <w:tr>
        <w:tc>
          <w:tcPr>
            <w:tcW w:type="dxa" w:w="3096"/>
            <w:vAlign w:val="center"/>
          </w:tcPr>
          <w:p>
            <w:pPr>
              <w:spacing w:after="0" w:before="0"/>
            </w:pPr>
            <w:r/>
            <w:r>
              <w:rPr>
                <w:b w:val="0"/>
                <w:sz w:val="14"/>
              </w:rPr>
              <w:t>Fixed lease or similar financing payments</w:t>
            </w:r>
          </w:p>
        </w:tc>
        <w:tc>
          <w:tcPr>
            <w:tcW w:type="dxa" w:w="5472"/>
            <w:vAlign w:val="center"/>
          </w:tcPr>
          <w:p>
            <w:pPr>
              <w:spacing w:after="0" w:before="0"/>
            </w:pPr>
            <w:r/>
            <w:r>
              <w:rPr>
                <w:b w:val="0"/>
                <w:sz w:val="14"/>
              </w:rPr>
              <w:t>Recurring cash obligations relevant to debt-service capacity</w:t>
            </w:r>
          </w:p>
        </w:tc>
        <w:tc>
          <w:tcPr>
            <w:tcW w:type="dxa" w:w="1152"/>
            <w:vAlign w:val="center"/>
          </w:tcPr>
          <w:p>
            <w:pPr>
              <w:spacing w:after="0" w:before="0"/>
            </w:pPr>
            <w:r/>
            <w:r>
              <w:rPr>
                <w:b w:val="0"/>
                <w:sz w:val="14"/>
              </w:rPr>
              <w:t xml:space="preserve"> $ __________________</w:t>
            </w:r>
          </w:p>
        </w:tc>
      </w:tr>
      <w:tr>
        <w:tc>
          <w:tcPr>
            <w:tcW w:type="dxa" w:w="3096"/>
            <w:vAlign w:val="center"/>
          </w:tcPr>
          <w:p>
            <w:pPr>
              <w:spacing w:after="0" w:before="0"/>
            </w:pPr>
            <w:r/>
            <w:r>
              <w:rPr>
                <w:b w:val="0"/>
                <w:sz w:val="14"/>
              </w:rPr>
              <w:t>Other included fixed charges</w:t>
            </w:r>
          </w:p>
        </w:tc>
        <w:tc>
          <w:tcPr>
            <w:tcW w:type="dxa" w:w="5472"/>
            <w:vAlign w:val="center"/>
          </w:tcPr>
          <w:p>
            <w:pPr>
              <w:spacing w:after="0" w:before="0"/>
            </w:pPr>
            <w:r/>
            <w:r>
              <w:rPr>
                <w:b w:val="0"/>
                <w:sz w:val="14"/>
              </w:rPr>
              <w:t>Only defined, recurring obligations; describe: __________________</w:t>
            </w:r>
          </w:p>
        </w:tc>
        <w:tc>
          <w:tcPr>
            <w:tcW w:type="dxa" w:w="1152"/>
            <w:vAlign w:val="center"/>
          </w:tcPr>
          <w:p>
            <w:pPr>
              <w:spacing w:after="0" w:before="0"/>
            </w:pPr>
            <w:r/>
            <w:r>
              <w:rPr>
                <w:b w:val="0"/>
                <w:sz w:val="14"/>
              </w:rPr>
              <w:t xml:space="preserve"> $ __________________</w:t>
            </w:r>
          </w:p>
        </w:tc>
      </w:tr>
      <w:tr>
        <w:tc>
          <w:tcPr>
            <w:tcW w:type="dxa" w:w="3096"/>
            <w:vAlign w:val="center"/>
          </w:tcPr>
          <w:p>
            <w:pPr>
              <w:spacing w:after="0" w:before="0"/>
            </w:pPr>
            <w:r/>
            <w:r>
              <w:rPr>
                <w:b w:val="0"/>
                <w:sz w:val="14"/>
              </w:rPr>
              <w:t>Total Fixed Charges</w:t>
            </w:r>
          </w:p>
        </w:tc>
        <w:tc>
          <w:tcPr>
            <w:tcW w:type="dxa" w:w="5472"/>
            <w:vAlign w:val="center"/>
          </w:tcPr>
          <w:p>
            <w:pPr>
              <w:spacing w:after="0" w:before="0"/>
            </w:pPr>
            <w:r/>
            <w:r>
              <w:rPr>
                <w:b w:val="0"/>
                <w:sz w:val="14"/>
              </w:rPr>
              <w:t>Sum above; no double counting</w:t>
            </w:r>
          </w:p>
        </w:tc>
        <w:tc>
          <w:tcPr>
            <w:tcW w:type="dxa" w:w="1152"/>
            <w:vAlign w:val="center"/>
          </w:tcPr>
          <w:p>
            <w:pPr>
              <w:spacing w:after="0" w:before="0"/>
            </w:pPr>
            <w:r/>
            <w:r>
              <w:rPr>
                <w:b w:val="0"/>
                <w:sz w:val="14"/>
              </w:rPr>
              <w:t xml:space="preserve"> $ __________________</w:t>
            </w:r>
          </w:p>
        </w:tc>
      </w:tr>
      <w:tr>
        <w:tc>
          <w:tcPr>
            <w:tcW w:type="dxa" w:w="3096"/>
            <w:vAlign w:val="center"/>
          </w:tcPr>
          <w:p>
            <w:pPr>
              <w:spacing w:after="0" w:before="0"/>
            </w:pPr>
            <w:r/>
            <w:r>
              <w:rPr>
                <w:b w:val="0"/>
                <w:sz w:val="14"/>
              </w:rPr>
              <w:t>Pre-cure FCCR</w:t>
            </w:r>
          </w:p>
        </w:tc>
        <w:tc>
          <w:tcPr>
            <w:tcW w:type="dxa" w:w="5472"/>
            <w:vAlign w:val="center"/>
          </w:tcPr>
          <w:p>
            <w:pPr>
              <w:spacing w:after="0" w:before="0"/>
            </w:pPr>
            <w:r/>
            <w:r>
              <w:rPr>
                <w:b w:val="0"/>
                <w:sz w:val="14"/>
              </w:rPr>
              <w:t>Adjusted EBITDA ÷ Total Fixed Charges</w:t>
            </w:r>
          </w:p>
        </w:tc>
        <w:tc>
          <w:tcPr>
            <w:tcW w:type="dxa" w:w="1152"/>
            <w:vAlign w:val="center"/>
          </w:tcPr>
          <w:p>
            <w:pPr>
              <w:spacing w:after="0" w:before="0"/>
            </w:pPr>
            <w:r/>
            <w:r>
              <w:rPr>
                <w:b w:val="0"/>
                <w:sz w:val="14"/>
              </w:rPr>
              <w:t xml:space="preserve"> __________ x</w:t>
            </w:r>
          </w:p>
        </w:tc>
      </w:tr>
      <w:tr>
        <w:tc>
          <w:tcPr>
            <w:tcW w:type="dxa" w:w="3096"/>
            <w:vAlign w:val="center"/>
          </w:tcPr>
          <w:p>
            <w:pPr>
              <w:spacing w:after="0" w:before="0"/>
            </w:pPr>
            <w:r/>
            <w:r>
              <w:rPr>
                <w:b w:val="0"/>
                <w:sz w:val="14"/>
              </w:rPr>
              <w:t>Cure-adjusted FCCR (if funded)</w:t>
            </w:r>
          </w:p>
        </w:tc>
        <w:tc>
          <w:tcPr>
            <w:tcW w:type="dxa" w:w="5472"/>
            <w:vAlign w:val="center"/>
          </w:tcPr>
          <w:p>
            <w:pPr>
              <w:spacing w:after="0" w:before="0"/>
            </w:pPr>
            <w:r/>
            <w:r>
              <w:rPr>
                <w:b w:val="0"/>
                <w:sz w:val="14"/>
              </w:rPr>
              <w:t>(Adjusted EBITDA + permitted cure amount) ÷ Total Fixed Charges</w:t>
            </w:r>
          </w:p>
        </w:tc>
        <w:tc>
          <w:tcPr>
            <w:tcW w:type="dxa" w:w="1152"/>
            <w:vAlign w:val="center"/>
          </w:tcPr>
          <w:p>
            <w:pPr>
              <w:spacing w:after="0" w:before="0"/>
            </w:pPr>
            <w:r/>
            <w:r>
              <w:rPr>
                <w:b w:val="0"/>
                <w:sz w:val="14"/>
              </w:rPr>
              <w:t xml:space="preserve"> __________ x</w:t>
            </w:r>
          </w:p>
        </w:tc>
      </w:tr>
    </w:tbl>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3600"/>
            <w:vAlign w:val="center"/>
            <w:shd w:fill="DCE6F1"/>
          </w:tcPr>
          <w:p>
            <w:pPr>
              <w:spacing w:after="0" w:before="0"/>
            </w:pPr>
            <w:r/>
            <w:r>
              <w:rPr>
                <w:b/>
                <w:sz w:val="15"/>
              </w:rPr>
              <w:t>Coverage status mechanics</w:t>
            </w:r>
          </w:p>
        </w:tc>
        <w:tc>
          <w:tcPr>
            <w:tcW w:type="dxa" w:w="6120"/>
            <w:vAlign w:val="center"/>
            <w:shd w:fill="DCE6F1"/>
          </w:tcPr>
          <w:p>
            <w:pPr>
              <w:spacing w:after="0" w:before="0"/>
            </w:pPr>
            <w:r/>
            <w:r>
              <w:rPr>
                <w:b/>
                <w:sz w:val="15"/>
              </w:rPr>
              <w:t>Enter evidence</w:t>
            </w:r>
          </w:p>
        </w:tc>
      </w:tr>
      <w:tr>
        <w:tc>
          <w:tcPr>
            <w:tcW w:type="dxa" w:w="3600"/>
            <w:vAlign w:val="center"/>
          </w:tcPr>
          <w:p>
            <w:pPr>
              <w:spacing w:after="0" w:before="0"/>
            </w:pPr>
            <w:r/>
            <w:r>
              <w:rPr>
                <w:b w:val="0"/>
                <w:sz w:val="15"/>
              </w:rPr>
              <w:t>Pre-cure status</w:t>
            </w:r>
          </w:p>
        </w:tc>
        <w:tc>
          <w:tcPr>
            <w:tcW w:type="dxa" w:w="6120"/>
            <w:vAlign w:val="center"/>
          </w:tcPr>
          <w:p>
            <w:pPr>
              <w:spacing w:after="0" w:before="0"/>
            </w:pPr>
            <w:r/>
            <w:r>
              <w:rPr>
                <w:b w:val="0"/>
                <w:sz w:val="15"/>
              </w:rPr>
              <w:t>☐ Compliant  ☐ Non-compliant  ☐ Cure-pending  ☐ N/A</w:t>
            </w:r>
          </w:p>
        </w:tc>
      </w:tr>
      <w:tr>
        <w:tc>
          <w:tcPr>
            <w:tcW w:type="dxa" w:w="3600"/>
            <w:vAlign w:val="center"/>
          </w:tcPr>
          <w:p>
            <w:pPr>
              <w:spacing w:after="0" w:before="0"/>
            </w:pPr>
            <w:r/>
            <w:r>
              <w:rPr>
                <w:b w:val="0"/>
                <w:sz w:val="15"/>
              </w:rPr>
              <w:t>Cure funded?</w:t>
            </w:r>
          </w:p>
        </w:tc>
        <w:tc>
          <w:tcPr>
            <w:tcW w:type="dxa" w:w="6120"/>
            <w:vAlign w:val="center"/>
          </w:tcPr>
          <w:p>
            <w:pPr>
              <w:spacing w:after="0" w:before="0"/>
            </w:pPr>
            <w:r/>
            <w:r>
              <w:rPr>
                <w:b w:val="0"/>
                <w:sz w:val="15"/>
              </w:rPr>
              <w:t>☐ No  ☐ Yes — contribution $ __________; funding date __________; support ref __________</w:t>
            </w:r>
          </w:p>
        </w:tc>
      </w:tr>
      <w:tr>
        <w:tc>
          <w:tcPr>
            <w:tcW w:type="dxa" w:w="3600"/>
            <w:vAlign w:val="center"/>
          </w:tcPr>
          <w:p>
            <w:pPr>
              <w:spacing w:after="0" w:before="0"/>
            </w:pPr>
            <w:r/>
            <w:r>
              <w:rPr>
                <w:b w:val="0"/>
                <w:sz w:val="15"/>
              </w:rPr>
              <w:t>Post-cure status</w:t>
            </w:r>
          </w:p>
        </w:tc>
        <w:tc>
          <w:tcPr>
            <w:tcW w:type="dxa" w:w="6120"/>
            <w:vAlign w:val="center"/>
          </w:tcPr>
          <w:p>
            <w:pPr>
              <w:spacing w:after="0" w:before="0"/>
            </w:pPr>
            <w:r/>
            <w:r>
              <w:rPr>
                <w:b w:val="0"/>
                <w:sz w:val="15"/>
              </w:rPr>
              <w:t>Complete only after funds are received and evidenced: ☐ Compliant  ☐ Non-compliant  ☐ N/A</w:t>
            </w:r>
          </w:p>
        </w:tc>
      </w:tr>
      <w:tr>
        <w:tc>
          <w:tcPr>
            <w:tcW w:type="dxa" w:w="3600"/>
            <w:vAlign w:val="center"/>
          </w:tcPr>
          <w:p>
            <w:pPr>
              <w:spacing w:after="0" w:before="0"/>
            </w:pPr>
            <w:r/>
            <w:r>
              <w:rPr>
                <w:b w:val="0"/>
                <w:sz w:val="15"/>
              </w:rPr>
              <w:t>Rolling four-quarter use count</w:t>
            </w:r>
          </w:p>
        </w:tc>
        <w:tc>
          <w:tcPr>
            <w:tcW w:type="dxa" w:w="6120"/>
            <w:vAlign w:val="center"/>
          </w:tcPr>
          <w:p>
            <w:pPr>
              <w:spacing w:after="0" w:before="0"/>
            </w:pPr>
            <w:r/>
            <w:r>
              <w:rPr>
                <w:b w:val="0"/>
                <w:sz w:val="15"/>
              </w:rPr>
              <w:t>Prior uses: Q−3 ____  Q−2 ____  Q−1 ____  Current ____  Total ____ (maximum 2)</w:t>
            </w:r>
          </w:p>
        </w:tc>
      </w:tr>
    </w:tbl>
    <w:p>
      <w:pPr>
        <w:spacing w:after="60" w:line="240" w:lineRule="auto"/>
      </w:pPr>
      <w:r>
        <w:rPr>
          <w:b w:val="0"/>
          <w:i w:val="0"/>
          <w:sz w:val="16"/>
        </w:rPr>
        <w:t>Equity Cure is available only for a Fixed-Charge Coverage shortfall, may be funded during the 10 business days after Delivery Date, and cannot repair Availability or Delinquency. A cure is not complete unless contribution amount and funding date are entered and supported. Preserve the pre-cure result and the post-cure result separately.</w:t>
      </w:r>
    </w:p>
    <w:p>
      <w:r>
        <w:br w:type="page"/>
      </w:r>
    </w:p>
    <w:p>
      <w:pPr>
        <w:spacing w:before="60" w:after="60"/>
      </w:pPr>
      <w:r>
        <w:rPr>
          <w:b/>
          <w:color w:val="1F4E79"/>
          <w:sz w:val="28"/>
        </w:rPr>
        <w:t>4. Definitions schedule (controlling terms)</w:t>
      </w:r>
    </w:p>
    <w:p>
      <w:pPr>
        <w:spacing w:after="60" w:line="240" w:lineRule="auto"/>
      </w:pPr>
      <w:r>
        <w:rPr>
          <w:b w:val="0"/>
          <w:i w:val="0"/>
          <w:sz w:val="16"/>
        </w:rPr>
        <w:t>These borrower-drafted definitions are the operational basis of this form. If an executed credit agreement conflicts, stop, flag the conflict, and obtain specialist direction before signing.</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Eligible Lease</w:t>
            </w:r>
          </w:p>
        </w:tc>
        <w:tc>
          <w:tcPr>
            <w:tcW w:type="dxa" w:w="7200"/>
            <w:vAlign w:val="center"/>
          </w:tcPr>
          <w:p>
            <w:pPr>
              <w:spacing w:after="0" w:before="0"/>
            </w:pPr>
            <w:r/>
            <w:r>
              <w:rPr>
                <w:b w:val="0"/>
                <w:sz w:val="15"/>
              </w:rPr>
              <w:t>A lease receivable or lease net-investment component owned by Cinderhall Utilities, validly originated, enforceable, not subject to dispute, fraud, charge-off, bankruptcy impairment or other material impairment, and not more than 30 days past due under the selected aging convention. It must not be pledged, assigned, financed or encumbered elsewhere, duplicated in another borrowing base, or owned by a party other than the Borrower.</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Eligible Lease Net Investment (ELNI)</w:t>
            </w:r>
          </w:p>
        </w:tc>
        <w:tc>
          <w:tcPr>
            <w:tcW w:type="dxa" w:w="7200"/>
            <w:vAlign w:val="center"/>
          </w:tcPr>
          <w:p>
            <w:pPr>
              <w:spacing w:after="0" w:before="0"/>
            </w:pPr>
            <w:r/>
            <w:r>
              <w:rPr>
                <w:b w:val="0"/>
                <w:sz w:val="15"/>
              </w:rPr>
              <w:t>The ledger-supported net investment in Eligible Leases as of the Test Date: recognized lease payment receivables and unearned income adjustments under the applicable accounting framework, less documented reserves and ineligible amounts. Booked Residual Value is expressly excluded from ELNI under this controlled form and is shown on a separate memorandum line.</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Booked Residual Value</w:t>
            </w:r>
          </w:p>
        </w:tc>
        <w:tc>
          <w:tcPr>
            <w:tcW w:type="dxa" w:w="7200"/>
            <w:vAlign w:val="center"/>
          </w:tcPr>
          <w:p>
            <w:pPr>
              <w:spacing w:after="0" w:before="0"/>
            </w:pPr>
            <w:r/>
            <w:r>
              <w:rPr>
                <w:b w:val="0"/>
                <w:sz w:val="15"/>
              </w:rPr>
              <w:t>The separately recorded estimated value of the leased asset expected at lease end or disposition. It is not a payment presently due from a lessee, is not a delinquent receivable, and is excluded from ELNI, the 85% advance base, and the delinquency denominator. Analysts must never reclassify it as cash currently due.</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Borrowing Base</w:t>
            </w:r>
          </w:p>
        </w:tc>
        <w:tc>
          <w:tcPr>
            <w:tcW w:type="dxa" w:w="7200"/>
            <w:vAlign w:val="center"/>
          </w:tcPr>
          <w:p>
            <w:pPr>
              <w:spacing w:after="0" w:before="0"/>
            </w:pPr>
            <w:r/>
            <w:r>
              <w:rPr>
                <w:b w:val="0"/>
                <w:sz w:val="15"/>
              </w:rPr>
              <w:t>85% × ELNI, less only documented permitted reserves or deductions. The result is not below zero.</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Availability</w:t>
            </w:r>
          </w:p>
        </w:tc>
        <w:tc>
          <w:tcPr>
            <w:tcW w:type="dxa" w:w="7200"/>
            <w:vAlign w:val="center"/>
          </w:tcPr>
          <w:p>
            <w:pPr>
              <w:spacing w:after="0" w:before="0"/>
            </w:pPr>
            <w:r/>
            <w:r>
              <w:rPr>
                <w:b w:val="0"/>
                <w:sz w:val="15"/>
              </w:rPr>
              <w:t>The lower of the Calculated Borrowing Base and the $25,000,000 Facility cap.</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Excess Availability / Headroom</w:t>
            </w:r>
          </w:p>
        </w:tc>
        <w:tc>
          <w:tcPr>
            <w:tcW w:type="dxa" w:w="7200"/>
            <w:vAlign w:val="center"/>
          </w:tcPr>
          <w:p>
            <w:pPr>
              <w:spacing w:after="0" w:before="0"/>
            </w:pPr>
            <w:r/>
            <w:r>
              <w:rPr>
                <w:b w:val="0"/>
                <w:sz w:val="15"/>
              </w:rPr>
              <w:t>Availability less Outstanding Warehouse Obligations. If obligations exceed Availability, report $0 available borrowing and the excess as a separately labeled deficiency; do not show a negative amount as available borrowing.</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Delinquency Ratio</w:t>
            </w:r>
          </w:p>
        </w:tc>
        <w:tc>
          <w:tcPr>
            <w:tcW w:type="dxa" w:w="7200"/>
            <w:vAlign w:val="center"/>
          </w:tcPr>
          <w:p>
            <w:pPr>
              <w:spacing w:after="0" w:before="0"/>
            </w:pPr>
            <w:r/>
            <w:r>
              <w:rPr>
                <w:b w:val="0"/>
                <w:sz w:val="15"/>
              </w:rPr>
              <w:t>Delinquent Eligible Lease exposure as of the Test Date divided by the Eligible Lease exposure base as of that same Test Date, multiplied by 100. The denominator follows ELNI eligibility and excludes Booked Residual Value. Maximum permitted ratio: 5.0%.</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Adjusted EBITDA</w:t>
            </w:r>
          </w:p>
        </w:tc>
        <w:tc>
          <w:tcPr>
            <w:tcW w:type="dxa" w:w="7200"/>
            <w:vAlign w:val="center"/>
          </w:tcPr>
          <w:p>
            <w:pPr>
              <w:spacing w:after="0" w:before="0"/>
            </w:pPr>
            <w:r/>
            <w:r>
              <w:rPr>
                <w:b w:val="0"/>
                <w:sz w:val="15"/>
              </w:rPr>
              <w:t>Net income (loss) for the same period, plus only finite, defined, separately quantified and evidenced covenant adjustments approved by the reviewer. Board-pack EBITDA is informational and requires a bridge; it is never automatically identical.</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Fixed Charges</w:t>
            </w:r>
          </w:p>
        </w:tc>
        <w:tc>
          <w:tcPr>
            <w:tcW w:type="dxa" w:w="7200"/>
            <w:vAlign w:val="center"/>
          </w:tcPr>
          <w:p>
            <w:pPr>
              <w:spacing w:after="0" w:before="0"/>
            </w:pPr>
            <w:r/>
            <w:r>
              <w:rPr>
                <w:b w:val="0"/>
                <w:sz w:val="15"/>
              </w:rPr>
              <w:t>For the same measurement period as Adjusted EBITDA: cash/accrued interest and financing charges, scheduled principal or equivalent financing payments, fixed lease or similar financing payments, and other recurring obligations expressly permitted by the executed terms. An item cannot be both an EBITDA add-back and a denominator reduction.</w:t>
            </w:r>
          </w:p>
        </w:tc>
      </w:tr>
    </w:tbl>
    <w:p>
      <w:pPr>
        <w:spacing w:after="0"/>
      </w:pP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2376"/>
            <w:shd w:fill="EAF1F8"/>
            <w:vAlign w:val="center"/>
          </w:tcPr>
          <w:p>
            <w:pPr>
              <w:spacing w:after="0" w:before="0"/>
            </w:pPr>
            <w:r/>
            <w:r>
              <w:rPr>
                <w:b/>
                <w:sz w:val="15"/>
              </w:rPr>
              <w:t>Equity Cure</w:t>
            </w:r>
          </w:p>
        </w:tc>
        <w:tc>
          <w:tcPr>
            <w:tcW w:type="dxa" w:w="7200"/>
            <w:vAlign w:val="center"/>
          </w:tcPr>
          <w:p>
            <w:pPr>
              <w:spacing w:after="0" w:before="0"/>
            </w:pPr>
            <w:r/>
            <w:r>
              <w:rPr>
                <w:b w:val="0"/>
                <w:sz w:val="15"/>
              </w:rPr>
              <w:t>An actual cash equity contribution funded during the 10 business days after Delivery Date, used only to cure Fixed-Charge Coverage. It cannot cure Availability or Delinquency, and may be used no more than twice in any rolling four-quarter period.</w:t>
            </w:r>
          </w:p>
        </w:tc>
      </w:tr>
    </w:tbl>
    <w:p>
      <w:pPr>
        <w:spacing w:after="0"/>
      </w:pPr>
    </w:p>
    <w:p>
      <w:r>
        <w:br w:type="page"/>
      </w:r>
    </w:p>
    <w:p>
      <w:pPr>
        <w:spacing w:before="60" w:after="60"/>
      </w:pPr>
      <w:r>
        <w:rPr>
          <w:b/>
          <w:color w:val="1F4E79"/>
          <w:sz w:val="28"/>
        </w:rPr>
        <w:t>5. Completion guidance and control record</w:t>
      </w:r>
    </w:p>
    <w:p>
      <w:pPr>
        <w:spacing w:before="60" w:after="60"/>
      </w:pPr>
      <w:r>
        <w:rPr>
          <w:b/>
          <w:color w:val="1F4E79"/>
          <w:sz w:val="21"/>
        </w:rPr>
        <w:t>First-time analyst checklist</w:t>
      </w:r>
    </w:p>
    <w:p>
      <w:pPr>
        <w:spacing w:after="60" w:line="240" w:lineRule="auto"/>
      </w:pPr>
      <w:r>
        <w:rPr>
          <w:b w:val="0"/>
          <w:i w:val="0"/>
          <w:sz w:val="16"/>
        </w:rPr>
        <w:t>1. Lock the month-end Test Date and Reporting Period; compute Certificate Due Date as 15 business days after month-end, and Cure-window Deadline as 10 business days after Delivery Date.</w:t>
      </w:r>
    </w:p>
    <w:p>
      <w:pPr>
        <w:spacing w:after="60" w:line="240" w:lineRule="auto"/>
      </w:pPr>
      <w:r>
        <w:rPr>
          <w:b w:val="0"/>
          <w:i w:val="0"/>
          <w:sz w:val="16"/>
        </w:rPr>
        <w:t>2. Pull aggregate ledger/source-system reports for lease net investment, delinquency aging, residual memorandum balance, obligations, EBITDA, and fixed charges. Retain report names, run dates and period filters; do not paste bank-account details or unnecessary lessee personal data.</w:t>
      </w:r>
    </w:p>
    <w:p>
      <w:pPr>
        <w:spacing w:after="60" w:line="240" w:lineRule="auto"/>
      </w:pPr>
      <w:r>
        <w:rPr>
          <w:b w:val="0"/>
          <w:i w:val="0"/>
          <w:sz w:val="16"/>
        </w:rPr>
        <w:t>3. Classify every lease against the Eligible Lease exclusions. Keep Booked Residual Value on its separate memorandum line; it never enters ELNI or delinquent exposure.</w:t>
      </w:r>
    </w:p>
    <w:p>
      <w:pPr>
        <w:spacing w:after="60" w:line="240" w:lineRule="auto"/>
      </w:pPr>
      <w:r>
        <w:rPr>
          <w:b w:val="0"/>
          <w:i w:val="0"/>
          <w:sz w:val="16"/>
        </w:rPr>
        <w:t>4. Complete the borrowing-base math, then the delinquency numerator/denominator and ratio. Enter a status even if a value is unavailable; mark exception and escalate rather than guessing.</w:t>
      </w:r>
    </w:p>
    <w:p>
      <w:pPr>
        <w:spacing w:after="60" w:line="240" w:lineRule="auto"/>
      </w:pPr>
      <w:r>
        <w:rPr>
          <w:b w:val="0"/>
          <w:i w:val="0"/>
          <w:sz w:val="16"/>
        </w:rPr>
        <w:t>5. Build covenant EBITDA from the accounting starting measure. List every proposed add-back separately with amount, category, evidence reference and reviewer initials; reconcile to the board pack.</w:t>
      </w:r>
    </w:p>
    <w:p>
      <w:pPr>
        <w:spacing w:after="60" w:line="240" w:lineRule="auto"/>
      </w:pPr>
      <w:r>
        <w:rPr>
          <w:b w:val="0"/>
          <w:i w:val="0"/>
          <w:sz w:val="16"/>
        </w:rPr>
        <w:t>6. Complete pre-cure coverage. If below 1.20x, mark Non-compliant or Cure-pending. Only after actual funding within the cure window may the post-cure line be completed, subject to the rolling four-quarter limit.</w:t>
      </w:r>
    </w:p>
    <w:p>
      <w:pPr>
        <w:spacing w:after="60" w:line="240" w:lineRule="auto"/>
      </w:pPr>
      <w:r>
        <w:rPr>
          <w:b w:val="0"/>
          <w:i w:val="0"/>
          <w:sz w:val="16"/>
        </w:rPr>
        <w:t>7. Disclose every default, potential default, calculation limitation or unavailable source. Write “None identified after reasonable inquiry” only when the inquiry and evidence are complete.</w:t>
      </w:r>
    </w:p>
    <w:p>
      <w:pPr>
        <w:spacing w:before="60" w:after="60"/>
      </w:pPr>
      <w:r>
        <w:rPr>
          <w:b/>
          <w:color w:val="1F4E79"/>
          <w:sz w:val="21"/>
        </w:rPr>
        <w:t>Evidence and review record</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5285"/>
        <w:gridCol w:w="5285"/>
      </w:tblGrid>
      <w:tr>
        <w:tc>
          <w:tcPr>
            <w:tcW w:type="dxa" w:w="3672"/>
            <w:vAlign w:val="center"/>
            <w:shd w:fill="DCE6F1"/>
          </w:tcPr>
          <w:p>
            <w:pPr>
              <w:spacing w:after="0" w:before="0"/>
            </w:pPr>
            <w:r/>
            <w:r>
              <w:rPr>
                <w:b/>
                <w:sz w:val="15"/>
              </w:rPr>
              <w:t>Control evidence</w:t>
            </w:r>
          </w:p>
        </w:tc>
        <w:tc>
          <w:tcPr>
            <w:tcW w:type="dxa" w:w="5904"/>
            <w:vAlign w:val="center"/>
            <w:shd w:fill="DCE6F1"/>
          </w:tcPr>
          <w:p>
            <w:pPr>
              <w:spacing w:after="0" w:before="0"/>
            </w:pPr>
            <w:r/>
            <w:r>
              <w:rPr>
                <w:b/>
                <w:sz w:val="15"/>
              </w:rPr>
              <w:t>Reference / initials / date</w:t>
            </w:r>
          </w:p>
        </w:tc>
      </w:tr>
      <w:tr>
        <w:tc>
          <w:tcPr>
            <w:tcW w:type="dxa" w:w="3672"/>
            <w:vAlign w:val="center"/>
          </w:tcPr>
          <w:p>
            <w:pPr>
              <w:spacing w:after="0" w:before="0"/>
            </w:pPr>
            <w:r/>
            <w:r>
              <w:rPr>
                <w:b w:val="0"/>
                <w:sz w:val="15"/>
              </w:rPr>
              <w:t>Source-system and ledger reports attached</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Lease aging and eligibility review</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Borrowing-base recomputation</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EBITDA add-back support and board-pack bridge</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Exception / default disclosure reviewed</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Preparer name / initials / date</w:t>
            </w:r>
          </w:p>
        </w:tc>
        <w:tc>
          <w:tcPr>
            <w:tcW w:type="dxa" w:w="5904"/>
            <w:vAlign w:val="center"/>
          </w:tcPr>
          <w:p>
            <w:pPr>
              <w:spacing w:after="0" w:before="0"/>
            </w:pPr>
            <w:r/>
            <w:r>
              <w:rPr>
                <w:b w:val="0"/>
                <w:sz w:val="15"/>
              </w:rPr>
              <w:t>____________________________________________________________</w:t>
            </w:r>
          </w:p>
        </w:tc>
      </w:tr>
      <w:tr>
        <w:tc>
          <w:tcPr>
            <w:tcW w:type="dxa" w:w="3672"/>
            <w:vAlign w:val="center"/>
          </w:tcPr>
          <w:p>
            <w:pPr>
              <w:spacing w:after="0" w:before="0"/>
            </w:pPr>
            <w:r/>
            <w:r>
              <w:rPr>
                <w:b w:val="0"/>
                <w:sz w:val="15"/>
              </w:rPr>
              <w:t>Independent reviewer name / initials / date</w:t>
            </w:r>
          </w:p>
        </w:tc>
        <w:tc>
          <w:tcPr>
            <w:tcW w:type="dxa" w:w="5904"/>
            <w:vAlign w:val="center"/>
          </w:tcPr>
          <w:p>
            <w:pPr>
              <w:spacing w:after="0" w:before="0"/>
            </w:pPr>
            <w:r/>
            <w:r>
              <w:rPr>
                <w:b w:val="0"/>
                <w:sz w:val="15"/>
              </w:rPr>
              <w:t>____________________________________________________________</w:t>
            </w:r>
          </w:p>
        </w:tc>
      </w:tr>
    </w:tbl>
    <w:p>
      <w:pPr>
        <w:spacing w:before="60" w:after="60"/>
      </w:pPr>
      <w:r>
        <w:rPr>
          <w:b/>
          <w:color w:val="1F4E79"/>
          <w:sz w:val="21"/>
        </w:rPr>
        <w:t>Defaults, potential defaults and limitations</w:t>
      </w:r>
    </w:p>
    <w:p>
      <w:pPr>
        <w:spacing w:after="60" w:line="240" w:lineRule="auto"/>
      </w:pPr>
      <w:r>
        <w:rPr>
          <w:b w:val="0"/>
          <w:i w:val="0"/>
          <w:sz w:val="16"/>
        </w:rPr>
        <w:t>Select one and describe supporting facts:  ☐ None identified after reasonable inquiry  ☐ Default exists  ☐ Potential default / information gap  ☐ Cure-pending coverage issue</w:t>
      </w:r>
    </w:p>
    <w:p>
      <w:pPr>
        <w:spacing w:after="60" w:line="240" w:lineRule="auto"/>
      </w:pPr>
      <w:r>
        <w:rPr>
          <w:b w:val="0"/>
          <w:i w:val="0"/>
          <w:sz w:val="16"/>
        </w:rPr>
        <w:t>Description / escalation owner / due date: ____________________________________________________________________________________________</w:t>
        <w:br/>
        <w:t>________________________________________________________________________________________________________________________</w:t>
      </w:r>
    </w:p>
    <w:p>
      <w:pPr>
        <w:spacing w:after="60" w:line="240" w:lineRule="auto"/>
      </w:pPr>
      <w:r>
        <w:rPr>
          <w:b/>
          <w:i w:val="0"/>
          <w:color w:val="1F4E79"/>
          <w:sz w:val="16"/>
        </w:rPr>
        <w:t>Retention rule: retain this signed certificate with source-system or ledger support, calculation workbook/evidence, add-back documentation, reviewer sign-off and any exception correspondence in the controlled monthly covenant folder.</w:t>
      </w:r>
    </w:p>
    <w:p>
      <w:pPr>
        <w:spacing w:before="60" w:after="60"/>
      </w:pPr>
      <w:r>
        <w:rPr>
          <w:b/>
          <w:color w:val="1F4E79"/>
          <w:sz w:val="21"/>
        </w:rPr>
        <w:t>CEO execution</w:t>
      </w:r>
    </w:p>
    <w:p>
      <w:pPr>
        <w:spacing w:after="60" w:line="240" w:lineRule="auto"/>
      </w:pPr>
      <w:r>
        <w:rPr>
          <w:b w:val="0"/>
          <w:i w:val="0"/>
          <w:sz w:val="16"/>
        </w:rPr>
        <w:t>Based on my knowledge after reasonable inquiry and review of the supporting materials identified above, I certify only the actual period-end information and statuses stated in this certificate. I do not certify the forward outlook, guarantee future performance, or treat an unfunded cure as completed.</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523"/>
        <w:gridCol w:w="3523"/>
        <w:gridCol w:w="3523"/>
      </w:tblGrid>
      <w:tr>
        <w:tc>
          <w:tcPr>
            <w:tcW w:type="dxa" w:w="3312"/>
            <w:vAlign w:val="center"/>
            <w:shd w:fill="DCE6F1"/>
          </w:tcPr>
          <w:p>
            <w:pPr>
              <w:spacing w:after="0" w:before="0"/>
            </w:pPr>
            <w:r/>
            <w:r>
              <w:rPr>
                <w:b/>
                <w:sz w:val="16"/>
              </w:rPr>
              <w:t>Authorized signatory</w:t>
            </w:r>
          </w:p>
        </w:tc>
        <w:tc>
          <w:tcPr>
            <w:tcW w:type="dxa" w:w="3600"/>
            <w:vAlign w:val="center"/>
            <w:shd w:fill="DCE6F1"/>
          </w:tcPr>
          <w:p>
            <w:pPr>
              <w:spacing w:after="0" w:before="0"/>
            </w:pPr>
            <w:r/>
            <w:r>
              <w:rPr>
                <w:b/>
                <w:sz w:val="16"/>
              </w:rPr>
              <w:t>Signature</w:t>
            </w:r>
          </w:p>
        </w:tc>
        <w:tc>
          <w:tcPr>
            <w:tcW w:type="dxa" w:w="2664"/>
            <w:vAlign w:val="center"/>
            <w:shd w:fill="DCE6F1"/>
          </w:tcPr>
          <w:p>
            <w:pPr>
              <w:spacing w:after="0" w:before="0"/>
            </w:pPr>
            <w:r/>
            <w:r>
              <w:rPr>
                <w:b/>
                <w:sz w:val="16"/>
              </w:rPr>
              <w:t>Date</w:t>
            </w:r>
          </w:p>
        </w:tc>
      </w:tr>
      <w:tr>
        <w:tc>
          <w:tcPr>
            <w:tcW w:type="dxa" w:w="3312"/>
            <w:vAlign w:val="center"/>
          </w:tcPr>
          <w:p>
            <w:pPr>
              <w:spacing w:after="0" w:before="0"/>
            </w:pPr>
            <w:r/>
            <w:r>
              <w:rPr>
                <w:b w:val="0"/>
                <w:sz w:val="16"/>
              </w:rPr>
              <w:t>Jelena Hendricks, Chief Executive Officer</w:t>
            </w:r>
          </w:p>
        </w:tc>
        <w:tc>
          <w:tcPr>
            <w:tcW w:type="dxa" w:w="3600"/>
            <w:vAlign w:val="center"/>
          </w:tcPr>
          <w:p>
            <w:pPr>
              <w:spacing w:after="0" w:before="0"/>
            </w:pPr>
            <w:r/>
            <w:r>
              <w:rPr>
                <w:b w:val="0"/>
                <w:sz w:val="16"/>
              </w:rPr>
              <w:t>________________________________</w:t>
            </w:r>
          </w:p>
        </w:tc>
        <w:tc>
          <w:tcPr>
            <w:tcW w:type="dxa" w:w="2664"/>
            <w:vAlign w:val="center"/>
          </w:tcPr>
          <w:p>
            <w:pPr>
              <w:spacing w:after="0" w:before="0"/>
            </w:pPr>
            <w:r/>
            <w:r>
              <w:rPr>
                <w:b w:val="0"/>
                <w:sz w:val="16"/>
              </w:rPr>
              <w:t>________________</w:t>
            </w:r>
          </w:p>
        </w:tc>
      </w:tr>
    </w:tbl>
    <w:p>
      <w:r>
        <w:br w:type="page"/>
      </w:r>
    </w:p>
    <w:p>
      <w:pPr>
        <w:spacing w:before="60" w:after="60"/>
      </w:pPr>
      <w:r>
        <w:rPr>
          <w:b/>
          <w:color w:val="1F4E79"/>
          <w:sz w:val="28"/>
        </w:rPr>
        <w:t>6. Non-certifying forward outlook: January–March</w:t>
      </w:r>
    </w:p>
    <w:p>
      <w:pPr>
        <w:spacing w:after="60" w:line="240" w:lineRule="auto"/>
      </w:pPr>
      <w:r>
        <w:rPr>
          <w:b/>
          <w:i w:val="0"/>
          <w:color w:val="9C0006"/>
          <w:sz w:val="17"/>
        </w:rPr>
        <w:t>FORECAST / SCENARIO ONLY — NOT PART OF THE CEO CERTIFICATION. These rows are planning information and do not amend the actual-period covenant tests. Leave unspecified December balances, obligations, add-backs and cure proceeds blank; use formulas anchored to entered actual data.</w:t>
      </w:r>
    </w:p>
    <w:p>
      <w:pPr>
        <w:spacing w:before="60" w:after="60"/>
      </w:pPr>
      <w:r>
        <w:rPr>
          <w:b/>
          <w:color w:val="1F4E79"/>
          <w:sz w:val="21"/>
        </w:rPr>
        <w:t>Base case (planning assumptions supplied)</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114"/>
        <w:gridCol w:w="2114"/>
        <w:gridCol w:w="2114"/>
        <w:gridCol w:w="2114"/>
        <w:gridCol w:w="2114"/>
      </w:tblGrid>
      <w:tr>
        <w:tc>
          <w:tcPr>
            <w:tcW w:type="dxa" w:w="2232"/>
            <w:vAlign w:val="center"/>
            <w:shd w:fill="DCE6F1"/>
          </w:tcPr>
          <w:p>
            <w:pPr>
              <w:spacing w:after="0" w:before="0"/>
            </w:pPr>
            <w:r/>
            <w:r>
              <w:rPr>
                <w:b/>
                <w:sz w:val="15"/>
              </w:rPr>
              <w:t>Metric</w:t>
            </w:r>
          </w:p>
        </w:tc>
        <w:tc>
          <w:tcPr>
            <w:tcW w:type="dxa" w:w="1944"/>
            <w:vAlign w:val="center"/>
            <w:shd w:fill="DCE6F1"/>
          </w:tcPr>
          <w:p>
            <w:pPr>
              <w:spacing w:after="0" w:before="0"/>
            </w:pPr>
            <w:r/>
            <w:r>
              <w:rPr>
                <w:b/>
                <w:sz w:val="15"/>
              </w:rPr>
              <w:t>December actual input / anchor</w:t>
            </w:r>
          </w:p>
        </w:tc>
        <w:tc>
          <w:tcPr>
            <w:tcW w:type="dxa" w:w="1800"/>
            <w:vAlign w:val="center"/>
            <w:shd w:fill="DCE6F1"/>
          </w:tcPr>
          <w:p>
            <w:pPr>
              <w:spacing w:after="0" w:before="0"/>
            </w:pPr>
            <w:r/>
            <w:r>
              <w:rPr>
                <w:b/>
                <w:sz w:val="15"/>
              </w:rPr>
              <w:t>January forecast</w:t>
            </w:r>
          </w:p>
        </w:tc>
        <w:tc>
          <w:tcPr>
            <w:tcW w:type="dxa" w:w="1800"/>
            <w:vAlign w:val="center"/>
            <w:shd w:fill="DCE6F1"/>
          </w:tcPr>
          <w:p>
            <w:pPr>
              <w:spacing w:after="0" w:before="0"/>
            </w:pPr>
            <w:r/>
            <w:r>
              <w:rPr>
                <w:b/>
                <w:sz w:val="15"/>
              </w:rPr>
              <w:t>February forecast</w:t>
            </w:r>
          </w:p>
        </w:tc>
        <w:tc>
          <w:tcPr>
            <w:tcW w:type="dxa" w:w="1800"/>
            <w:vAlign w:val="center"/>
            <w:shd w:fill="DCE6F1"/>
          </w:tcPr>
          <w:p>
            <w:pPr>
              <w:spacing w:after="0" w:before="0"/>
            </w:pPr>
            <w:r/>
            <w:r>
              <w:rPr>
                <w:b/>
                <w:sz w:val="15"/>
              </w:rPr>
              <w:t>March forecast</w:t>
            </w:r>
          </w:p>
        </w:tc>
      </w:tr>
      <w:tr>
        <w:tc>
          <w:tcPr>
            <w:tcW w:type="dxa" w:w="2232"/>
            <w:vAlign w:val="center"/>
          </w:tcPr>
          <w:p>
            <w:pPr>
              <w:spacing w:after="0" w:before="0"/>
            </w:pPr>
            <w:r/>
            <w:r>
              <w:rPr>
                <w:b w:val="0"/>
                <w:sz w:val="15"/>
              </w:rPr>
              <w:t>Eligible Lease Net Investment</w:t>
            </w:r>
          </w:p>
        </w:tc>
        <w:tc>
          <w:tcPr>
            <w:tcW w:type="dxa" w:w="1944"/>
            <w:vAlign w:val="center"/>
          </w:tcPr>
          <w:p>
            <w:pPr>
              <w:spacing w:after="0" w:before="0"/>
            </w:pPr>
            <w:r/>
            <w:r>
              <w:rPr>
                <w:b w:val="0"/>
                <w:sz w:val="15"/>
              </w:rPr>
              <w:t>Enter actual December ELNI: $ __________</w:t>
            </w:r>
          </w:p>
        </w:tc>
        <w:tc>
          <w:tcPr>
            <w:tcW w:type="dxa" w:w="1800"/>
            <w:vAlign w:val="center"/>
          </w:tcPr>
          <w:p>
            <w:pPr>
              <w:spacing w:after="0" w:before="0"/>
            </w:pPr>
            <w:r/>
            <w:r>
              <w:rPr>
                <w:b w:val="0"/>
                <w:sz w:val="15"/>
              </w:rPr>
              <w:t>December × 98%</w:t>
            </w:r>
          </w:p>
        </w:tc>
        <w:tc>
          <w:tcPr>
            <w:tcW w:type="dxa" w:w="1800"/>
            <w:vAlign w:val="center"/>
          </w:tcPr>
          <w:p>
            <w:pPr>
              <w:spacing w:after="0" w:before="0"/>
            </w:pPr>
            <w:r/>
            <w:r>
              <w:rPr>
                <w:b w:val="0"/>
                <w:sz w:val="15"/>
              </w:rPr>
              <w:t>January × 98%</w:t>
            </w:r>
          </w:p>
        </w:tc>
        <w:tc>
          <w:tcPr>
            <w:tcW w:type="dxa" w:w="1800"/>
            <w:vAlign w:val="center"/>
          </w:tcPr>
          <w:p>
            <w:pPr>
              <w:spacing w:after="0" w:before="0"/>
            </w:pPr>
            <w:r/>
            <w:r>
              <w:rPr>
                <w:b w:val="0"/>
                <w:sz w:val="15"/>
              </w:rPr>
              <w:t>February × 98%</w:t>
            </w:r>
          </w:p>
        </w:tc>
      </w:tr>
      <w:tr>
        <w:tc>
          <w:tcPr>
            <w:tcW w:type="dxa" w:w="2232"/>
            <w:vAlign w:val="center"/>
          </w:tcPr>
          <w:p>
            <w:pPr>
              <w:spacing w:after="0" w:before="0"/>
            </w:pPr>
            <w:r/>
            <w:r>
              <w:rPr>
                <w:b w:val="0"/>
                <w:sz w:val="15"/>
              </w:rPr>
              <w:t>Monthly change</w:t>
            </w:r>
          </w:p>
        </w:tc>
        <w:tc>
          <w:tcPr>
            <w:tcW w:type="dxa" w:w="1944"/>
            <w:vAlign w:val="center"/>
          </w:tcPr>
          <w:p>
            <w:pPr>
              <w:spacing w:after="0" w:before="0"/>
            </w:pPr>
            <w:r/>
            <w:r>
              <w:rPr>
                <w:b w:val="0"/>
                <w:sz w:val="15"/>
              </w:rPr>
              <w:t>—</w:t>
            </w:r>
          </w:p>
        </w:tc>
        <w:tc>
          <w:tcPr>
            <w:tcW w:type="dxa" w:w="1800"/>
            <w:vAlign w:val="center"/>
          </w:tcPr>
          <w:p>
            <w:pPr>
              <w:spacing w:after="0" w:before="0"/>
            </w:pPr>
            <w:r/>
            <w:r>
              <w:rPr>
                <w:b w:val="0"/>
                <w:sz w:val="15"/>
              </w:rPr>
              <w:t>−2.0%</w:t>
            </w:r>
          </w:p>
        </w:tc>
        <w:tc>
          <w:tcPr>
            <w:tcW w:type="dxa" w:w="1800"/>
            <w:vAlign w:val="center"/>
          </w:tcPr>
          <w:p>
            <w:pPr>
              <w:spacing w:after="0" w:before="0"/>
            </w:pPr>
            <w:r/>
            <w:r>
              <w:rPr>
                <w:b w:val="0"/>
                <w:sz w:val="15"/>
              </w:rPr>
              <w:t>−2.0% successive</w:t>
            </w:r>
          </w:p>
        </w:tc>
        <w:tc>
          <w:tcPr>
            <w:tcW w:type="dxa" w:w="1800"/>
            <w:vAlign w:val="center"/>
          </w:tcPr>
          <w:p>
            <w:pPr>
              <w:spacing w:after="0" w:before="0"/>
            </w:pPr>
            <w:r/>
            <w:r>
              <w:rPr>
                <w:b w:val="0"/>
                <w:sz w:val="15"/>
              </w:rPr>
              <w:t>−2.0% successive</w:t>
            </w:r>
          </w:p>
        </w:tc>
      </w:tr>
      <w:tr>
        <w:tc>
          <w:tcPr>
            <w:tcW w:type="dxa" w:w="2232"/>
            <w:vAlign w:val="center"/>
          </w:tcPr>
          <w:p>
            <w:pPr>
              <w:spacing w:after="0" w:before="0"/>
            </w:pPr>
            <w:r/>
            <w:r>
              <w:rPr>
                <w:b w:val="0"/>
                <w:sz w:val="15"/>
              </w:rPr>
              <w:t>Quarterly Adjusted EBITDA</w:t>
            </w:r>
          </w:p>
        </w:tc>
        <w:tc>
          <w:tcPr>
            <w:tcW w:type="dxa" w:w="1944"/>
            <w:vAlign w:val="center"/>
          </w:tcPr>
          <w:p>
            <w:pPr>
              <w:spacing w:after="0" w:before="0"/>
            </w:pPr>
            <w:r/>
            <w:r>
              <w:rPr>
                <w:b w:val="0"/>
                <w:sz w:val="15"/>
              </w:rPr>
              <w:t>—</w:t>
            </w:r>
          </w:p>
        </w:tc>
        <w:tc>
          <w:tcPr>
            <w:tcW w:type="dxa" w:w="1800"/>
            <w:vAlign w:val="center"/>
          </w:tcPr>
          <w:p>
            <w:pPr>
              <w:spacing w:after="0" w:before="0"/>
            </w:pPr>
            <w:r/>
            <w:r>
              <w:rPr>
                <w:b w:val="0"/>
                <w:sz w:val="15"/>
              </w:rPr>
              <w:t>$1.80m (assumption)</w:t>
            </w:r>
          </w:p>
        </w:tc>
        <w:tc>
          <w:tcPr>
            <w:tcW w:type="dxa" w:w="1800"/>
            <w:vAlign w:val="center"/>
          </w:tcPr>
          <w:p>
            <w:pPr>
              <w:spacing w:after="0" w:before="0"/>
            </w:pPr>
            <w:r/>
            <w:r>
              <w:rPr>
                <w:b w:val="0"/>
                <w:sz w:val="15"/>
              </w:rPr>
              <w:t>$1.80m (assumption)</w:t>
            </w:r>
          </w:p>
        </w:tc>
        <w:tc>
          <w:tcPr>
            <w:tcW w:type="dxa" w:w="1800"/>
            <w:vAlign w:val="center"/>
          </w:tcPr>
          <w:p>
            <w:pPr>
              <w:spacing w:after="0" w:before="0"/>
            </w:pPr>
            <w:r/>
            <w:r>
              <w:rPr>
                <w:b w:val="0"/>
                <w:sz w:val="15"/>
              </w:rPr>
              <w:t>$1.80m (assumption)</w:t>
            </w:r>
          </w:p>
        </w:tc>
      </w:tr>
      <w:tr>
        <w:tc>
          <w:tcPr>
            <w:tcW w:type="dxa" w:w="2232"/>
            <w:vAlign w:val="center"/>
          </w:tcPr>
          <w:p>
            <w:pPr>
              <w:spacing w:after="0" w:before="0"/>
            </w:pPr>
            <w:r/>
            <w:r>
              <w:rPr>
                <w:b w:val="0"/>
                <w:sz w:val="15"/>
              </w:rPr>
              <w:t>Quarterly Fixed Charges</w:t>
            </w:r>
          </w:p>
        </w:tc>
        <w:tc>
          <w:tcPr>
            <w:tcW w:type="dxa" w:w="1944"/>
            <w:vAlign w:val="center"/>
          </w:tcPr>
          <w:p>
            <w:pPr>
              <w:spacing w:after="0" w:before="0"/>
            </w:pPr>
            <w:r/>
            <w:r>
              <w:rPr>
                <w:b w:val="0"/>
                <w:sz w:val="15"/>
              </w:rPr>
              <w:t>—</w:t>
            </w:r>
          </w:p>
        </w:tc>
        <w:tc>
          <w:tcPr>
            <w:tcW w:type="dxa" w:w="1800"/>
            <w:vAlign w:val="center"/>
          </w:tcPr>
          <w:p>
            <w:pPr>
              <w:spacing w:after="0" w:before="0"/>
            </w:pPr>
            <w:r/>
            <w:r>
              <w:rPr>
                <w:b w:val="0"/>
                <w:sz w:val="15"/>
              </w:rPr>
              <w:t>$1.35m (assumption)</w:t>
            </w:r>
          </w:p>
        </w:tc>
        <w:tc>
          <w:tcPr>
            <w:tcW w:type="dxa" w:w="1800"/>
            <w:vAlign w:val="center"/>
          </w:tcPr>
          <w:p>
            <w:pPr>
              <w:spacing w:after="0" w:before="0"/>
            </w:pPr>
            <w:r/>
            <w:r>
              <w:rPr>
                <w:b w:val="0"/>
                <w:sz w:val="15"/>
              </w:rPr>
              <w:t>$1.35m (assumption)</w:t>
            </w:r>
          </w:p>
        </w:tc>
        <w:tc>
          <w:tcPr>
            <w:tcW w:type="dxa" w:w="1800"/>
            <w:vAlign w:val="center"/>
          </w:tcPr>
          <w:p>
            <w:pPr>
              <w:spacing w:after="0" w:before="0"/>
            </w:pPr>
            <w:r/>
            <w:r>
              <w:rPr>
                <w:b w:val="0"/>
                <w:sz w:val="15"/>
              </w:rPr>
              <w:t>$1.35m (assumption)</w:t>
            </w:r>
          </w:p>
        </w:tc>
      </w:tr>
      <w:tr>
        <w:tc>
          <w:tcPr>
            <w:tcW w:type="dxa" w:w="2232"/>
            <w:vAlign w:val="center"/>
          </w:tcPr>
          <w:p>
            <w:pPr>
              <w:spacing w:after="0" w:before="0"/>
            </w:pPr>
            <w:r/>
            <w:r>
              <w:rPr>
                <w:b w:val="0"/>
                <w:sz w:val="15"/>
              </w:rPr>
              <w:t>Projected FCCR</w:t>
            </w:r>
          </w:p>
        </w:tc>
        <w:tc>
          <w:tcPr>
            <w:tcW w:type="dxa" w:w="1944"/>
            <w:vAlign w:val="center"/>
          </w:tcPr>
          <w:p>
            <w:pPr>
              <w:spacing w:after="0" w:before="0"/>
            </w:pPr>
            <w:r/>
            <w:r>
              <w:rPr>
                <w:b w:val="0"/>
                <w:sz w:val="15"/>
              </w:rPr>
              <w:t>—</w:t>
            </w:r>
          </w:p>
        </w:tc>
        <w:tc>
          <w:tcPr>
            <w:tcW w:type="dxa" w:w="1800"/>
            <w:vAlign w:val="center"/>
          </w:tcPr>
          <w:p>
            <w:pPr>
              <w:spacing w:after="0" w:before="0"/>
            </w:pPr>
            <w:r/>
            <w:r>
              <w:rPr>
                <w:b w:val="0"/>
                <w:sz w:val="15"/>
              </w:rPr>
              <w:t>1.80 ÷ 1.35 = 1.33x</w:t>
            </w:r>
          </w:p>
        </w:tc>
        <w:tc>
          <w:tcPr>
            <w:tcW w:type="dxa" w:w="1800"/>
            <w:vAlign w:val="center"/>
          </w:tcPr>
          <w:p>
            <w:pPr>
              <w:spacing w:after="0" w:before="0"/>
            </w:pPr>
            <w:r/>
            <w:r>
              <w:rPr>
                <w:b w:val="0"/>
                <w:sz w:val="15"/>
              </w:rPr>
              <w:t>1.33x</w:t>
            </w:r>
          </w:p>
        </w:tc>
        <w:tc>
          <w:tcPr>
            <w:tcW w:type="dxa" w:w="1800"/>
            <w:vAlign w:val="center"/>
          </w:tcPr>
          <w:p>
            <w:pPr>
              <w:spacing w:after="0" w:before="0"/>
            </w:pPr>
            <w:r/>
            <w:r>
              <w:rPr>
                <w:b w:val="0"/>
                <w:sz w:val="15"/>
              </w:rPr>
              <w:t>1.33x</w:t>
            </w:r>
          </w:p>
        </w:tc>
      </w:tr>
      <w:tr>
        <w:tc>
          <w:tcPr>
            <w:tcW w:type="dxa" w:w="2232"/>
            <w:vAlign w:val="center"/>
          </w:tcPr>
          <w:p>
            <w:pPr>
              <w:spacing w:after="0" w:before="0"/>
            </w:pPr>
            <w:r/>
            <w:r>
              <w:rPr>
                <w:b w:val="0"/>
                <w:sz w:val="15"/>
              </w:rPr>
              <w:t>Planning view vs 1.20x</w:t>
            </w:r>
          </w:p>
        </w:tc>
        <w:tc>
          <w:tcPr>
            <w:tcW w:type="dxa" w:w="1944"/>
            <w:vAlign w:val="center"/>
          </w:tcPr>
          <w:p>
            <w:pPr>
              <w:spacing w:after="0" w:before="0"/>
            </w:pPr>
            <w:r/>
            <w:r>
              <w:rPr>
                <w:b w:val="0"/>
                <w:sz w:val="15"/>
              </w:rPr>
              <w:t>—</w:t>
            </w:r>
          </w:p>
        </w:tc>
        <w:tc>
          <w:tcPr>
            <w:tcW w:type="dxa" w:w="1800"/>
            <w:vAlign w:val="center"/>
          </w:tcPr>
          <w:p>
            <w:pPr>
              <w:spacing w:after="0" w:before="0"/>
            </w:pPr>
            <w:r/>
            <w:r>
              <w:rPr>
                <w:b w:val="0"/>
                <w:sz w:val="15"/>
              </w:rPr>
              <w:t>Within minimum (forecast)</w:t>
            </w:r>
          </w:p>
        </w:tc>
        <w:tc>
          <w:tcPr>
            <w:tcW w:type="dxa" w:w="1800"/>
            <w:vAlign w:val="center"/>
          </w:tcPr>
          <w:p>
            <w:pPr>
              <w:spacing w:after="0" w:before="0"/>
            </w:pPr>
            <w:r/>
            <w:r>
              <w:rPr>
                <w:b w:val="0"/>
                <w:sz w:val="15"/>
              </w:rPr>
              <w:t>Within minimum (forecast)</w:t>
            </w:r>
          </w:p>
        </w:tc>
        <w:tc>
          <w:tcPr>
            <w:tcW w:type="dxa" w:w="1800"/>
            <w:vAlign w:val="center"/>
          </w:tcPr>
          <w:p>
            <w:pPr>
              <w:spacing w:after="0" w:before="0"/>
            </w:pPr>
            <w:r/>
            <w:r>
              <w:rPr>
                <w:b w:val="0"/>
                <w:sz w:val="15"/>
              </w:rPr>
              <w:t>Within minimum (forecast)</w:t>
            </w:r>
          </w:p>
        </w:tc>
      </w:tr>
    </w:tbl>
    <w:p>
      <w:pPr>
        <w:spacing w:before="60" w:after="60"/>
      </w:pPr>
      <w:r>
        <w:rPr>
          <w:b/>
          <w:color w:val="1F4E79"/>
          <w:sz w:val="21"/>
        </w:rPr>
        <w:t>Downside delinquency path (planning assumptions supplied)</w:t>
      </w:r>
    </w:p>
    <w:tbl>
      <w:tblPr>
        <w:tblW w:type="auto" w:w="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642"/>
        <w:gridCol w:w="2642"/>
        <w:gridCol w:w="2642"/>
        <w:gridCol w:w="2642"/>
      </w:tblGrid>
      <w:tr>
        <w:tc>
          <w:tcPr>
            <w:tcW w:type="dxa" w:w="1800"/>
            <w:vAlign w:val="center"/>
            <w:shd w:fill="DCE6F1"/>
          </w:tcPr>
          <w:p>
            <w:pPr>
              <w:spacing w:after="0" w:before="0"/>
            </w:pPr>
            <w:r/>
            <w:r>
              <w:rPr>
                <w:b/>
                <w:sz w:val="16"/>
              </w:rPr>
              <w:t>Month</w:t>
            </w:r>
          </w:p>
        </w:tc>
        <w:tc>
          <w:tcPr>
            <w:tcW w:type="dxa" w:w="2952"/>
            <w:vAlign w:val="center"/>
            <w:shd w:fill="DCE6F1"/>
          </w:tcPr>
          <w:p>
            <w:pPr>
              <w:spacing w:after="0" w:before="0"/>
            </w:pPr>
            <w:r/>
            <w:r>
              <w:rPr>
                <w:b/>
                <w:sz w:val="16"/>
              </w:rPr>
              <w:t>Projected delinquency</w:t>
            </w:r>
          </w:p>
        </w:tc>
        <w:tc>
          <w:tcPr>
            <w:tcW w:type="dxa" w:w="1656"/>
            <w:vAlign w:val="center"/>
            <w:shd w:fill="DCE6F1"/>
          </w:tcPr>
          <w:p>
            <w:pPr>
              <w:spacing w:after="0" w:before="0"/>
            </w:pPr>
            <w:r/>
            <w:r>
              <w:rPr>
                <w:b/>
                <w:sz w:val="16"/>
              </w:rPr>
              <w:t>5.0% ceiling</w:t>
            </w:r>
          </w:p>
        </w:tc>
        <w:tc>
          <w:tcPr>
            <w:tcW w:type="dxa" w:w="3168"/>
            <w:vAlign w:val="center"/>
            <w:shd w:fill="DCE6F1"/>
          </w:tcPr>
          <w:p>
            <w:pPr>
              <w:spacing w:after="0" w:before="0"/>
            </w:pPr>
            <w:r/>
            <w:r>
              <w:rPr>
                <w:b/>
                <w:sz w:val="16"/>
              </w:rPr>
              <w:t>Planning interpretation</w:t>
            </w:r>
          </w:p>
        </w:tc>
      </w:tr>
      <w:tr>
        <w:tc>
          <w:tcPr>
            <w:tcW w:type="dxa" w:w="1800"/>
            <w:vAlign w:val="center"/>
          </w:tcPr>
          <w:p>
            <w:pPr>
              <w:spacing w:after="0" w:before="0"/>
            </w:pPr>
            <w:r/>
            <w:r>
              <w:rPr>
                <w:b w:val="0"/>
                <w:sz w:val="16"/>
              </w:rPr>
              <w:t>December</w:t>
            </w:r>
          </w:p>
        </w:tc>
        <w:tc>
          <w:tcPr>
            <w:tcW w:type="dxa" w:w="2952"/>
            <w:vAlign w:val="center"/>
          </w:tcPr>
          <w:p>
            <w:pPr>
              <w:spacing w:after="0" w:before="0"/>
            </w:pPr>
            <w:r/>
            <w:r>
              <w:rPr>
                <w:b w:val="0"/>
                <w:sz w:val="16"/>
              </w:rPr>
              <w:t>4.2% (starting assumption)</w:t>
            </w:r>
          </w:p>
        </w:tc>
        <w:tc>
          <w:tcPr>
            <w:tcW w:type="dxa" w:w="1656"/>
            <w:vAlign w:val="center"/>
          </w:tcPr>
          <w:p>
            <w:pPr>
              <w:spacing w:after="0" w:before="0"/>
            </w:pPr>
            <w:r/>
            <w:r>
              <w:rPr>
                <w:b w:val="0"/>
                <w:sz w:val="16"/>
              </w:rPr>
              <w:t>5.0%</w:t>
            </w:r>
          </w:p>
        </w:tc>
        <w:tc>
          <w:tcPr>
            <w:tcW w:type="dxa" w:w="3168"/>
            <w:vAlign w:val="center"/>
          </w:tcPr>
          <w:p>
            <w:pPr>
              <w:spacing w:after="0" w:before="0"/>
            </w:pPr>
            <w:r/>
            <w:r>
              <w:rPr>
                <w:b w:val="0"/>
                <w:sz w:val="16"/>
              </w:rPr>
              <w:t>Within limit</w:t>
            </w:r>
          </w:p>
        </w:tc>
      </w:tr>
      <w:tr>
        <w:tc>
          <w:tcPr>
            <w:tcW w:type="dxa" w:w="1800"/>
            <w:vAlign w:val="center"/>
          </w:tcPr>
          <w:p>
            <w:pPr>
              <w:spacing w:after="0" w:before="0"/>
            </w:pPr>
            <w:r/>
            <w:r>
              <w:rPr>
                <w:b w:val="0"/>
                <w:sz w:val="16"/>
              </w:rPr>
              <w:t>January</w:t>
            </w:r>
          </w:p>
        </w:tc>
        <w:tc>
          <w:tcPr>
            <w:tcW w:type="dxa" w:w="2952"/>
            <w:vAlign w:val="center"/>
          </w:tcPr>
          <w:p>
            <w:pPr>
              <w:spacing w:after="0" w:before="0"/>
            </w:pPr>
            <w:r/>
            <w:r>
              <w:rPr>
                <w:b w:val="0"/>
                <w:sz w:val="16"/>
              </w:rPr>
              <w:t>4.8% (= 4.2% + 0.6 pp)</w:t>
            </w:r>
          </w:p>
        </w:tc>
        <w:tc>
          <w:tcPr>
            <w:tcW w:type="dxa" w:w="1656"/>
            <w:vAlign w:val="center"/>
          </w:tcPr>
          <w:p>
            <w:pPr>
              <w:spacing w:after="0" w:before="0"/>
            </w:pPr>
            <w:r/>
            <w:r>
              <w:rPr>
                <w:b w:val="0"/>
                <w:sz w:val="16"/>
              </w:rPr>
              <w:t>5.0%</w:t>
            </w:r>
          </w:p>
        </w:tc>
        <w:tc>
          <w:tcPr>
            <w:tcW w:type="dxa" w:w="3168"/>
            <w:vAlign w:val="center"/>
          </w:tcPr>
          <w:p>
            <w:pPr>
              <w:spacing w:after="0" w:before="0"/>
            </w:pPr>
            <w:r/>
            <w:r>
              <w:rPr>
                <w:b w:val="0"/>
                <w:sz w:val="16"/>
              </w:rPr>
              <w:t>Within limit</w:t>
            </w:r>
          </w:p>
        </w:tc>
      </w:tr>
      <w:tr>
        <w:tc>
          <w:tcPr>
            <w:tcW w:type="dxa" w:w="1800"/>
            <w:vAlign w:val="center"/>
          </w:tcPr>
          <w:p>
            <w:pPr>
              <w:spacing w:after="0" w:before="0"/>
            </w:pPr>
            <w:r/>
            <w:r>
              <w:rPr>
                <w:b w:val="0"/>
                <w:sz w:val="16"/>
              </w:rPr>
              <w:t>February</w:t>
            </w:r>
          </w:p>
        </w:tc>
        <w:tc>
          <w:tcPr>
            <w:tcW w:type="dxa" w:w="2952"/>
            <w:vAlign w:val="center"/>
          </w:tcPr>
          <w:p>
            <w:pPr>
              <w:spacing w:after="0" w:before="0"/>
            </w:pPr>
            <w:r/>
            <w:r>
              <w:rPr>
                <w:b w:val="0"/>
                <w:sz w:val="16"/>
              </w:rPr>
              <w:t>5.4% (= 4.8% + 0.6 pp)</w:t>
            </w:r>
          </w:p>
        </w:tc>
        <w:tc>
          <w:tcPr>
            <w:tcW w:type="dxa" w:w="1656"/>
            <w:vAlign w:val="center"/>
          </w:tcPr>
          <w:p>
            <w:pPr>
              <w:spacing w:after="0" w:before="0"/>
            </w:pPr>
            <w:r/>
            <w:r>
              <w:rPr>
                <w:b w:val="0"/>
                <w:sz w:val="16"/>
              </w:rPr>
              <w:t>5.0%</w:t>
            </w:r>
          </w:p>
        </w:tc>
        <w:tc>
          <w:tcPr>
            <w:tcW w:type="dxa" w:w="3168"/>
            <w:vAlign w:val="center"/>
          </w:tcPr>
          <w:p>
            <w:pPr>
              <w:spacing w:after="0" w:before="0"/>
            </w:pPr>
            <w:r/>
            <w:r>
              <w:rPr>
                <w:b w:val="0"/>
                <w:sz w:val="16"/>
              </w:rPr>
              <w:t>First projected month above limit</w:t>
            </w:r>
          </w:p>
        </w:tc>
      </w:tr>
      <w:tr>
        <w:tc>
          <w:tcPr>
            <w:tcW w:type="dxa" w:w="1800"/>
            <w:vAlign w:val="center"/>
          </w:tcPr>
          <w:p>
            <w:pPr>
              <w:spacing w:after="0" w:before="0"/>
            </w:pPr>
            <w:r/>
            <w:r>
              <w:rPr>
                <w:b w:val="0"/>
                <w:sz w:val="16"/>
              </w:rPr>
              <w:t>March</w:t>
            </w:r>
          </w:p>
        </w:tc>
        <w:tc>
          <w:tcPr>
            <w:tcW w:type="dxa" w:w="2952"/>
            <w:vAlign w:val="center"/>
          </w:tcPr>
          <w:p>
            <w:pPr>
              <w:spacing w:after="0" w:before="0"/>
            </w:pPr>
            <w:r/>
            <w:r>
              <w:rPr>
                <w:b w:val="0"/>
                <w:sz w:val="16"/>
              </w:rPr>
              <w:t>6.0% (= 5.4% + 0.6 pp)</w:t>
            </w:r>
          </w:p>
        </w:tc>
        <w:tc>
          <w:tcPr>
            <w:tcW w:type="dxa" w:w="1656"/>
            <w:vAlign w:val="center"/>
          </w:tcPr>
          <w:p>
            <w:pPr>
              <w:spacing w:after="0" w:before="0"/>
            </w:pPr>
            <w:r/>
            <w:r>
              <w:rPr>
                <w:b w:val="0"/>
                <w:sz w:val="16"/>
              </w:rPr>
              <w:t>5.0%</w:t>
            </w:r>
          </w:p>
        </w:tc>
        <w:tc>
          <w:tcPr>
            <w:tcW w:type="dxa" w:w="3168"/>
            <w:vAlign w:val="center"/>
          </w:tcPr>
          <w:p>
            <w:pPr>
              <w:spacing w:after="0" w:before="0"/>
            </w:pPr>
            <w:r/>
            <w:r>
              <w:rPr>
                <w:b w:val="0"/>
                <w:sz w:val="16"/>
              </w:rPr>
              <w:t>Above limit</w:t>
            </w:r>
          </w:p>
        </w:tc>
      </w:tr>
    </w:tbl>
    <w:p>
      <w:pPr>
        <w:spacing w:after="60" w:line="240" w:lineRule="auto"/>
      </w:pPr>
      <w:r>
        <w:rPr>
          <w:b w:val="0"/>
          <w:i w:val="0"/>
          <w:sz w:val="16"/>
        </w:rPr>
        <w:t>Outlook boundary: the base case gives only the supplied ratios and assumptions. It does not invent December ELNI, outstanding obligations, lessee balances, discretionary EBITDA add-backs, or equity-cure proceeds. Refresh the forecast if actual inputs change, and keep it separate from the signed certificate.</w:t>
      </w:r>
    </w:p>
    <w:p>
      <w:pPr>
        <w:spacing w:before="60" w:after="60"/>
      </w:pPr>
      <w:r>
        <w:rPr>
          <w:b/>
          <w:color w:val="1F4E79"/>
          <w:sz w:val="21"/>
        </w:rPr>
        <w:t>Document-control acknowledgement</w:t>
      </w:r>
    </w:p>
    <w:p>
      <w:pPr>
        <w:spacing w:after="60" w:line="240" w:lineRule="auto"/>
      </w:pPr>
      <w:r>
        <w:rPr>
          <w:b w:val="0"/>
          <w:i w:val="0"/>
          <w:sz w:val="16"/>
        </w:rPr>
        <w:t>Prepared by Petra Beaulieu, Financial Manager | Controlled form WH-CERT-01 v1.0 | Replaces prior warehouse-facility boilerplate | Residual-value exclusion, delinquency denominator, EBITDA bridge, evidence and cure-window mechanics are substantive changes.</w:t>
      </w:r>
    </w:p>
    <w:sectPr w:rsidR="00FC693F" w:rsidRPr="0006063C" w:rsidSect="00034616">
      <w:footerReference w:type="default" r:id="rId9"/>
      <w:pgSz w:w="12240" w:h="15840"/>
      <w:pgMar w:top="691"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 xml:space="preserve">Cinderhall Utilities — WH-CERT-01 v1.0 | Controlled monthly use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