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CORRECTIVE ACTION REQUEST - CONTROLLED TEMPLATE</w:t>
      </w:r>
    </w:p>
    <w:p>
      <w:pPr>
        <w:spacing w:after="80"/>
      </w:pPr>
      <w:r>
        <w:rPr>
          <w:i/>
          <w:color w:val="595959"/>
          <w:sz w:val="16"/>
        </w:rPr>
        <w:t>For buyer or quality coordinator use. Complete fields marked [Required]; keep unknown items Open or Open - Blocked, never infer them.</w:t>
      </w:r>
    </w:p>
    <w:p>
      <w:pPr>
        <w:pStyle w:val="Heading2"/>
      </w:pPr>
      <w:r>
        <w:t>A. Control, identity, and objective problem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Field / prompt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SCAR ID; status; issue date; issuing role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Supplier; response contact / role; recipient route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Part, revision, PO/receipt; governing requirement (drawing/spec note)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Objective evidence ID(s): incident, inspection, photos, samples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Factual problem statement: feature/location, observed condition, acceptance condition. Do not state a presumed cause here.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2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[Required] Known and potential scope: lots/shipments, population/quantity, locations, traceability records; mark confirmation pending where unknown.</w:t>
            </w:r>
          </w:p>
        </w:tc>
        <w:tc>
          <w:tcPr>
            <w:tcW w:type="dxa" w:w="655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B. Containment and controlled disposition</w:t>
      </w:r>
    </w:p>
    <w:p>
      <w:pPr>
        <w:spacing w:after="40"/>
      </w:pPr>
      <w:r>
        <w:t>[Required] State the requested protection of supplier stock, customer receiving, WIP and future shipments. Do not state supplier cost liability unless an identified authority authorizes it; otherwise record “cost allocation reserved / commercial review required.”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Containment action / suspect disposition</w:t>
            </w:r>
          </w:p>
        </w:tc>
        <w:tc>
          <w:tcPr>
            <w:tcW w:type="dxa" w:w="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Owner</w:t>
            </w:r>
          </w:p>
        </w:tc>
        <w:tc>
          <w:tcPr>
            <w:tcW w:type="dxa" w:w="126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Requested or committed date</w:t>
            </w:r>
          </w:p>
        </w:tc>
        <w:tc>
          <w:tcPr>
            <w:tcW w:type="dxa" w:w="89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Status</w:t>
            </w:r>
          </w:p>
        </w:tc>
        <w:tc>
          <w:tcPr>
            <w:tcW w:type="dxa" w:w="112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Completed date</w:t>
            </w:r>
          </w:p>
        </w:tc>
        <w:tc>
          <w:tcPr>
            <w:tcW w:type="dxa" w:w="420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Verification evidence ID / verifier / date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Identify / segregate / inspect / shipment control / disposition: __________________</w:t>
            </w:r>
          </w:p>
        </w:tc>
        <w:tc>
          <w:tcPr>
            <w:tcW w:type="dxa" w:w="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126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89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Open</w:t>
            </w:r>
          </w:p>
        </w:tc>
        <w:tc>
          <w:tcPr>
            <w:tcW w:type="dxa" w:w="112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420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Traceability review and quantity reconciliation: __________________</w:t>
            </w:r>
          </w:p>
        </w:tc>
        <w:tc>
          <w:tcPr>
            <w:tcW w:type="dxa" w:w="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126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89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Open</w:t>
            </w:r>
          </w:p>
        </w:tc>
        <w:tc>
          <w:tcPr>
            <w:tcW w:type="dxa" w:w="112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420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Known/new suspect material location and disposition: __________________</w:t>
            </w:r>
          </w:p>
        </w:tc>
        <w:tc>
          <w:tcPr>
            <w:tcW w:type="dxa" w:w="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126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89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Open</w:t>
            </w:r>
          </w:p>
        </w:tc>
        <w:tc>
          <w:tcPr>
            <w:tcW w:type="dxa" w:w="1123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  <w:tc>
          <w:tcPr>
            <w:tcW w:type="dxa" w:w="420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C. Supplier analysis and corrective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36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Analysis requirement</w:t>
            </w:r>
          </w:p>
        </w:tc>
        <w:tc>
          <w:tcPr>
            <w:tcW w:type="dxa" w:w="81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Supplier response / evidence reference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Occurrence cause - why the condition occurred</w:t>
            </w:r>
          </w:p>
        </w:tc>
        <w:tc>
          <w:tcPr>
            <w:tcW w:type="dxa" w:w="81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Method: __________  Cause ID: __________  evidence/attachment: __________________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Escape/detection cause - why it was not prevented or detected</w:t>
            </w:r>
          </w:p>
        </w:tc>
        <w:tc>
          <w:tcPr>
            <w:tcW w:type="dxa" w:w="81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Method: __________  Cause ID: __________  evidence/attachment: __________________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Corrective action linked to Cause ID / failure mode</w:t>
            </w:r>
          </w:p>
        </w:tc>
        <w:tc>
          <w:tcPr>
            <w:tcW w:type="dxa" w:w="81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Action / owner / due date / status / actual completion: 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Implementation evidence (not just “complete”)</w:t>
            </w:r>
          </w:p>
        </w:tc>
        <w:tc>
          <w:tcPr>
            <w:tcW w:type="dxa" w:w="81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Work instruction, training, inspection, process/change record, photo, etc.: __________________  Verified by / date: 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D. Effectiveness validation and review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Effectiveness control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Metric and baseline / comparison basis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Target or acceptance criterion; monitored sample or window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Result / evidence reference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Supplier reviewer / date; Marchbank technical reviewer / review date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Supplier submitted | Technical acceptance | Commercial review (if applicable) | Effectiveness approved | Closed by Marchbank</w:t>
            </w:r>
          </w:p>
        </w:tc>
        <w:tc>
          <w:tcPr>
            <w:tcW w:type="dxa" w:w="67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Name / role / date / decision / record reference: ______________________________</w:t>
            </w:r>
          </w:p>
        </w:tc>
      </w:tr>
    </w:tbl>
    <w:p>
      <w:pPr>
        <w:spacing w:after="0"/>
      </w:pPr>
    </w:p>
    <w:p>
      <w:pPr>
        <w:spacing w:after="40"/>
      </w:pPr>
      <w:r>
        <w:t>Closure gate [Required]: Closed by Marchbank may be selected only when containment record, cause analysis, action implementation evidence, effectiveness result, and named Marchbank reviewer/date are all recorded. A checkbox, supplier claim, or submission alone is not closure.</w:t>
      </w:r>
    </w:p>
    <w:p>
      <w:pPr>
        <w:pStyle w:val="Heading2"/>
      </w:pPr>
      <w:r>
        <w:t>E. Channel record, cutover, and blocked-case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rPr>
          <w:tblHeader w:val="true"/>
        </w:trP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Milestone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Date</w:t>
            </w:r>
          </w:p>
        </w:tc>
        <w:tc>
          <w:tcPr>
            <w:tcW w:type="dxa" w:w="244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Channel used</w:t>
            </w:r>
          </w:p>
        </w:tc>
        <w:tc>
          <w:tcPr>
            <w:tcW w:type="dxa" w:w="49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CMQ-Log / SAPortal / email / QF-17 reference</w:t>
            </w:r>
          </w:p>
        </w:tc>
        <w:tc>
          <w:tcPr>
            <w:tcW w:type="dxa" w:w="13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Recorded by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Issue / acknowledgement / containment / full response / acceptance / closure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</w:t>
            </w:r>
          </w:p>
        </w:tc>
        <w:tc>
          <w:tcPr>
            <w:tcW w:type="dxa" w:w="244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Email + CMQ-Log until 30-Apr-2026; SAPortal from 01-May-2026</w:t>
            </w:r>
          </w:p>
        </w:tc>
        <w:tc>
          <w:tcPr>
            <w:tcW w:type="dxa" w:w="49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__________________________________</w:t>
            </w:r>
          </w:p>
        </w:tc>
        <w:tc>
          <w:tcPr>
            <w:tcW w:type="dxa" w:w="13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Open case at cutover</w:t>
            </w:r>
          </w:p>
        </w:tc>
        <w:tc>
          <w:tcPr>
            <w:tcW w:type="dxa" w:w="7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</w:t>
            </w:r>
          </w:p>
        </w:tc>
        <w:tc>
          <w:tcPr>
            <w:tcW w:type="dxa" w:w="244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Preserve CMQ-Log reference; migrate/reconcile in SAPortal</w:t>
            </w:r>
          </w:p>
        </w:tc>
        <w:tc>
          <w:tcPr>
            <w:tcW w:type="dxa" w:w="49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__________________________________</w:t>
            </w:r>
          </w:p>
        </w:tc>
        <w:tc>
          <w:tcPr>
            <w:tcW w:type="dxa" w:w="13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________</w:t>
            </w:r>
          </w:p>
        </w:tc>
      </w:tr>
    </w:tbl>
    <w:p>
      <w:pPr>
        <w:spacing w:after="0"/>
      </w:pPr>
    </w:p>
    <w:p>
      <w:pPr>
        <w:spacing w:after="40"/>
      </w:pPr>
      <w:r>
        <w:t>Exception path: For portal inaccessibility, missing supplier response, unavailable evidence, overdue action, or unavailable verifier, set status Open - Blocked; name an escalation owner and due follow-up; retain email plus QF-17 Temporary Submission Record in CMQ-Log; document the missing item and interim control. Reconcile attachments and milestone references to SAPortal within 2 business days after access is restored. Do not close while blocked.</w:t>
      </w:r>
    </w:p>
    <w:p>
      <w:pPr>
        <w:spacing w:after="40"/>
      </w:pPr>
      <w:r>
        <w:t>Status cues: Prepared for release = approved to issue; Open = work underway; Open - Blocked = normal path unavailable and exception record active; Supplier submitted = awaiting Marchbank review; Technical acceptance / Commercial review / Effectiveness approved are separate gates; Closed by Marchbank = final authorized decision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Controlled document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4"/>
      </w:rPr>
      <w:t>MARCHBANK CONSORTIUM  |  SUPPLIER QUALITY &amp; PURCHASING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