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F4E79"/>
          <w:sz w:val="50"/>
        </w:rPr>
        <w:t>Distribution Strategy Assessment</w:t>
      </w:r>
    </w:p>
    <w:p>
      <w:pPr>
        <w:jc w:val="center"/>
      </w:pPr>
      <w:r>
        <w:rPr>
          <w:color w:val="4F81BD"/>
          <w:sz w:val="26"/>
        </w:rPr>
        <w:t>Career agency and Bellhaven Consortium independent producers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2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Decision requested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Rutger Villalobos and the Board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February strategy session; before the next agency-contract cycle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Finance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b/>
          <w:color w:val="1F4E79"/>
          <w:sz w:val="30"/>
        </w:rPr>
        <w:t>Recommendation at a glance</w:t>
      </w:r>
    </w:p>
    <w:p>
      <w:pPr>
        <w:spacing w:after="60" w:line="245" w:lineRule="auto"/>
      </w:pPr>
      <w:r>
        <w:rPr>
          <w:sz w:val="20"/>
        </w:rPr>
        <w:t>FINANCE JUDGEMENT — Approve a deliberately staged course: shift incremental new business toward Bellhaven Consortium’s independent producers, subject to gates, while retaining and funding a viable career-agency core through the next contract cycle. Do not approve an agency stand-down now.</w:t>
      </w:r>
    </w:p>
    <w:p>
      <w:pPr>
        <w:pStyle w:val="ListBullet"/>
        <w:spacing w:after="20"/>
        <w:ind w:left="288"/>
      </w:pPr>
      <w:r>
        <w:rPr>
          <w:sz w:val="17"/>
        </w:rPr>
        <w:t>Why: Bellhaven’s three-year acquisition economics are lower and its forecast new-business premium grows, but the material persistency comparison matures after the forecast horizon and Bellhaven capacity, terms and controls are conditional or unverified.</w:t>
      </w:r>
    </w:p>
    <w:p>
      <w:pPr>
        <w:pStyle w:val="ListBullet"/>
        <w:spacing w:after="20"/>
        <w:ind w:left="288"/>
      </w:pPr>
      <w:r>
        <w:rPr>
          <w:sz w:val="17"/>
        </w:rPr>
        <w:t>What this gives up: immediate full realization of the modeled distribution-cost advantage and some near-term scale of the independent channel.</w:t>
      </w:r>
    </w:p>
    <w:p>
      <w:pPr>
        <w:pStyle w:val="ListBullet"/>
        <w:spacing w:after="20"/>
        <w:ind w:left="288"/>
      </w:pPr>
      <w:r>
        <w:rPr>
          <w:sz w:val="17"/>
        </w:rPr>
        <w:t>What it preserves: agency service continuity, an evidence-generating comparator, and the option to change allocation before the materially difficult-to-reverse agency stand-down.</w:t>
      </w:r>
    </w:p>
    <w:p>
      <w:pPr>
        <w:spacing w:after="40"/>
      </w:pPr>
      <w:r>
        <w:rPr>
          <w:i/>
          <w:color w:val="595959"/>
          <w:sz w:val="14"/>
        </w:rPr>
        <w:t>Source / status: Quantitative figures: Penhurst distribution working forecast (the “workbook”), reconciled using row-level Notes. Qualitative facts: Distribution stakeholder record (the “record”). Recommendation is Finance judgement, not a source commitment.</w:t>
      </w:r>
    </w:p>
    <w:p>
      <w:r>
        <w:br w:type="page"/>
      </w:r>
    </w:p>
    <w:p>
      <w:pPr>
        <w:spacing w:before="60" w:after="60"/>
      </w:pPr>
      <w:r>
        <w:rPr>
          <w:b/>
          <w:color w:val="1F4E79"/>
          <w:sz w:val="30"/>
        </w:rPr>
        <w:t>1 | Decision frame and source treatment</w:t>
      </w:r>
    </w:p>
    <w:p>
      <w:pPr>
        <w:spacing w:after="60" w:line="245" w:lineRule="auto"/>
      </w:pPr>
      <w:r>
        <w:rPr>
          <w:sz w:val="20"/>
        </w:rPr>
        <w:t>Declared frame — enterprise distribution recommendation. Finance weighs the three-year economics alongside persistency outside the horizon, execution feasibility, controls, concentration, policyholder service, workforce consequences and reversibility. This is not a recommendation based solely on the three-year forecast.</w:t>
      </w:r>
    </w:p>
    <w:p>
      <w:pPr>
        <w:spacing w:before="60" w:after="60"/>
      </w:pPr>
      <w:r>
        <w:rPr>
          <w:b/>
          <w:color w:val="1F4E79"/>
          <w:sz w:val="30"/>
        </w:rPr>
        <w:t>Timing</w:t>
      </w:r>
    </w:p>
    <w:p>
      <w:pPr>
        <w:spacing w:after="60" w:line="245" w:lineRule="auto"/>
      </w:pPr>
      <w:r>
        <w:rPr>
          <w:sz w:val="18"/>
        </w:rPr>
        <w:t>SOURCE-BACKED FACT — Rutger requests a board-ready direction for the February strategy session. The upcoming agency-contract cycle makes delay costly and constrains the practical transition window.</w:t>
      </w:r>
    </w:p>
    <w:p>
      <w:pPr>
        <w:spacing w:before="60" w:after="60"/>
      </w:pPr>
      <w:r>
        <w:rPr>
          <w:b/>
          <w:color w:val="1F4E79"/>
          <w:sz w:val="30"/>
        </w:rPr>
        <w:t>How Finance reconciled the workbook</w:t>
      </w:r>
    </w:p>
    <w:p>
      <w:pPr>
        <w:pStyle w:val="ListBullet"/>
        <w:spacing w:after="20"/>
        <w:ind w:left="288"/>
      </w:pPr>
      <w:r>
        <w:rPr>
          <w:sz w:val="17"/>
        </w:rPr>
        <w:t>Row-level Notes were considered when reconciling the workbook: FY2027 career acquisition expenditure uses the revised amount; FY2028 career field operating cost excludes the stated corporate allocation; and FY2026 support is reclassified to Bellhaven.</w:t>
      </w:r>
    </w:p>
    <w:p>
      <w:pPr>
        <w:pStyle w:val="ListBullet"/>
        <w:spacing w:after="20"/>
        <w:ind w:left="288"/>
      </w:pPr>
      <w:r>
        <w:rPr>
          <w:sz w:val="17"/>
        </w:rPr>
        <w:t>A separate corporate-allocation line is excluded from channel option economics in accordance with its Note. An obvious residual spreadsheet error in a legacy summary cell was disregarded; it is disconnected from valid forecast detail.</w:t>
      </w:r>
    </w:p>
    <w:p>
      <w:pPr>
        <w:pStyle w:val="ListBullet"/>
        <w:spacing w:after="20"/>
        <w:ind w:left="288"/>
      </w:pPr>
      <w:r>
        <w:rPr>
          <w:sz w:val="17"/>
        </w:rPr>
        <w:t>The mixed-format date “03/04/2028” is treated as unresolved between two plausible calendar readings. Finance therefore does not assert an exact FY2028 checkpoint chronology beyond the period label.</w:t>
      </w:r>
    </w:p>
    <w:p>
      <w:pPr>
        <w:spacing w:before="60" w:after="60"/>
      </w:pPr>
      <w:r>
        <w:rPr>
          <w:b/>
          <w:color w:val="1F4E79"/>
          <w:sz w:val="22"/>
        </w:rPr>
        <w:t>Evidence labels used throughout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7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Label</w:t>
            </w:r>
          </w:p>
        </w:tc>
        <w:tc>
          <w:tcPr>
            <w:tcW w:type="dxa" w:w="69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SOURCE-BACKED FACT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Workbook figure or record statement, cited and qualified.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STAKEHOLDER VIEW</w:t>
            </w:r>
          </w:p>
        </w:tc>
        <w:tc>
          <w:tcPr>
            <w:tcW w:type="dxa" w:w="691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Functional perspective; may be advocacy, estimate, condition or open question.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FINANCE JUDGEMENT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Decision interpretation, recommendation or gate design.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60"/>
      </w:pPr>
      <w:r>
        <w:rPr>
          <w:b/>
          <w:color w:val="1F4E79"/>
          <w:sz w:val="30"/>
        </w:rPr>
        <w:t>2 | Three-year channel forecast — applicable source rows</w:t>
      </w:r>
    </w:p>
    <w:p>
      <w:pPr>
        <w:spacing w:after="60" w:line="245" w:lineRule="auto"/>
      </w:pPr>
      <w:r>
        <w:rPr>
          <w:sz w:val="18"/>
        </w:rPr>
        <w:t>SOURCE-BACKED FACT — The exhibit copies the applicable forecast values after the Notes exceptions described on page 2. Values are forecast, not observed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35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FY2026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FY2027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FY2028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3-year / direction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Career new-business premium ($m)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105.0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90.0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315.0 / down</w:t>
            </w:r>
          </w:p>
        </w:tc>
      </w:tr>
      <w:tr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Bellhaven new-business premium ($m)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130.0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160.0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390.0 / up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Career new policies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1,000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2,550 / down</w:t>
            </w:r>
          </w:p>
        </w:tc>
      </w:tr>
      <w:tr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Bellhaven new policies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1,000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1,300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1,600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3,900 / up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Career contribution measure ($m)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53.0</w:t>
            </w:r>
          </w:p>
        </w:tc>
      </w:tr>
      <w:tr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Bellhaven contribution measure ($m)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72.0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i/>
          <w:color w:val="595959"/>
          <w:sz w:val="14"/>
        </w:rPr>
        <w:t>Source / status: Workbook detail rows: channel, period and named measure. “Contribution measure” is retained as the workbook’s label and is not recast as accounting profit.</w:t>
      </w:r>
    </w:p>
    <w:p>
      <w:pPr>
        <w:spacing w:before="60" w:after="60"/>
      </w:pPr>
      <w:r>
        <w:rPr>
          <w:b/>
          <w:color w:val="1F4E79"/>
          <w:sz w:val="22"/>
        </w:rPr>
        <w:t>Material movements — source-backed drivers</w:t>
      </w:r>
    </w:p>
    <w:p>
      <w:pPr>
        <w:pStyle w:val="ListBullet"/>
        <w:spacing w:after="20"/>
        <w:ind w:left="288"/>
      </w:pPr>
      <w:r>
        <w:rPr>
          <w:sz w:val="17"/>
        </w:rPr>
        <w:t>Career agency premium falls from $120.0m to $90.0m as new-policy volume falls from 1,000 to 700. The record corroborates contraction and staffing pressure through retirements and hiring difficulty (Magda Gauthier).</w:t>
      </w:r>
    </w:p>
    <w:p>
      <w:pPr>
        <w:pStyle w:val="ListBullet"/>
        <w:spacing w:after="20"/>
        <w:ind w:left="288"/>
      </w:pPr>
      <w:r>
        <w:rPr>
          <w:sz w:val="17"/>
        </w:rPr>
        <w:t>Bellhaven premium rises from $100.0m to $160.0m with policies rising from 1,000 to 1,600. This relies on forecast production and is feasible only subject to onboarding slots, allocation and operating confirmation (Farida Sinclair).</w:t>
      </w:r>
    </w:p>
    <w:p>
      <w:pPr>
        <w:pStyle w:val="ListBullet"/>
        <w:spacing w:after="20"/>
        <w:ind w:left="288"/>
      </w:pPr>
      <w:r>
        <w:rPr>
          <w:sz w:val="17"/>
        </w:rPr>
        <w:t>The contribution series is favorable to Bellhaven in the forecast, but it does not resolve mature cohort value because the relevant persistency difference emerges later (Aneta Zuniga).</w:t>
      </w:r>
    </w:p>
    <w:p>
      <w:r>
        <w:br w:type="page"/>
      </w:r>
    </w:p>
    <w:p>
      <w:pPr>
        <w:spacing w:before="60" w:after="60"/>
      </w:pPr>
      <w:r>
        <w:rPr>
          <w:b/>
          <w:color w:val="1F4E79"/>
          <w:sz w:val="30"/>
        </w:rPr>
        <w:t>3 | Distribution cost and early-quality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35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Measure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FY2026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FY2027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FY2028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3-year total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Career acquisition expenditure ($m)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12.0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11.2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9.8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33.0</w:t>
            </w:r>
          </w:p>
        </w:tc>
      </w:tr>
      <w:tr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Career field operating cost ($m)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6.0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6.2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18.3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Career distribution cost ($m)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18.0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17.4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15.9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51.3</w:t>
            </w:r>
          </w:p>
        </w:tc>
      </w:tr>
      <w:tr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Bellhaven acquisition expenditure ($m)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8.0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9.1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10.4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27.5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Bellhaven support &amp; oversight cost ($m)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2.0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2.4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2.8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7.2</w:t>
            </w:r>
          </w:p>
        </w:tc>
      </w:tr>
      <w:tr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Bellhaven distribution cost ($m)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10.0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11.5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13.2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34.7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Shift transition expenditure ($m)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3.0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1.5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0.5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5.0</w:t>
            </w:r>
          </w:p>
        </w:tc>
      </w:tr>
    </w:tbl>
    <w:p>
      <w:pPr>
        <w:spacing w:after="20"/>
      </w:pPr>
    </w:p>
    <w:p>
      <w:pPr>
        <w:spacing w:after="60" w:line="245" w:lineRule="auto"/>
      </w:pPr>
      <w:r>
        <w:rPr>
          <w:sz w:val="17"/>
        </w:rPr>
        <w:t>SOURCE-BACKED FACT — “Distribution cost” above is acquisition expenditure plus channel-specific field operating cost or Bellhaven support and oversight cost; it excludes the corporate allocation. Transition expenditure is a separate one-time cost applicable to a shift.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35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Unit economics / early quality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FY2026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FY2027</w:t>
            </w:r>
          </w:p>
        </w:tc>
        <w:tc>
          <w:tcPr>
            <w:tcW w:type="dxa" w:w="112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FY2028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Reading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Career acquisition cost per policy ($)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12,000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12,706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14,000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rises</w:t>
            </w:r>
          </w:p>
        </w:tc>
      </w:tr>
      <w:tr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Bellhaven acquisition cost per policy ($)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8,000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7,000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6,500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falls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Career first-year lapse (%)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8.0%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7.5%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7.0%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lower</w:t>
            </w:r>
          </w:p>
        </w:tc>
      </w:tr>
      <w:tr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Bellhaven first-year lapse (%)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11.0%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11.5%</w:t>
            </w:r>
          </w:p>
        </w:tc>
        <w:tc>
          <w:tcPr>
            <w:tcW w:type="dxa" w:w="1123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12.0%</w:t>
            </w:r>
          </w:p>
        </w:tc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higher</w:t>
            </w:r>
          </w:p>
        </w:tc>
      </w:tr>
    </w:tbl>
    <w:p>
      <w:pPr>
        <w:spacing w:after="20"/>
      </w:pPr>
    </w:p>
    <w:p>
      <w:pPr>
        <w:spacing w:after="60" w:line="245" w:lineRule="auto"/>
      </w:pPr>
      <w:r>
        <w:rPr>
          <w:sz w:val="17"/>
        </w:rPr>
        <w:t>SOURCE-BACKED FACT — Bellhaven has a lower acquisition-cost-per-policy profile in every forecast period, while the career agency has lower first-year lapse in every period. Lower lapse is better. These are forecast/early indicators, not mature persistency proof.</w:t>
      </w:r>
    </w:p>
    <w:p>
      <w:r>
        <w:br w:type="page"/>
      </w:r>
    </w:p>
    <w:p>
      <w:pPr>
        <w:spacing w:before="60" w:after="60"/>
      </w:pPr>
      <w:r>
        <w:rPr>
          <w:b/>
          <w:color w:val="1F4E79"/>
          <w:sz w:val="30"/>
        </w:rPr>
        <w:t>4 | Evidence quality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What it supports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Qualification / Finance treatment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Magda Gauthier, Career Agency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Contraction, staffing pressure and relationship continuity.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Informed agency perspective. Her view that rebuilding after stand-down would be difficult is judgement, not quantified proof.</w:t>
            </w:r>
          </w:p>
        </w:tc>
      </w:tr>
      <w:tr>
        <w:tc>
          <w:tcPr>
            <w:tcW w:type="dxa" w:w="180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Farida Sinclair, Bellhaven</w:t>
            </w:r>
          </w:p>
        </w:tc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Lower acquisition economics and potential producer capacity.</w:t>
            </w:r>
          </w:p>
        </w:tc>
        <w:tc>
          <w:tcPr>
            <w:tcW w:type="dxa" w:w="36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Capacity is conditional on onboarding slots, allocation and final operating confirmation; no signed or exclusive commitment.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Aneta Zuniga, Actuarial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Mature career cohorts have better persistency than available independent evidence.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principal persistency benefit of the career agency is not fully observable inside the three-period forecast. Potentially weaker independent-channel lapse experience is likewise not fully visible inside the forecast horizon. Short-duration lapse data are not mature proof.</w:t>
            </w:r>
          </w:p>
        </w:tc>
      </w:tr>
      <w:tr>
        <w:tc>
          <w:tcPr>
            <w:tcW w:type="dxa" w:w="180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Paloma Donnelly, Operations</w:t>
            </w:r>
          </w:p>
        </w:tc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Onboarding, systems, training, service routing; reassignment/severance estimates.</w:t>
            </w:r>
          </w:p>
        </w:tc>
        <w:tc>
          <w:tcPr>
            <w:tcW w:type="dxa" w:w="36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Transition timing and workforce consequences require a detailed plan; amounts and timing remain estimates.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Astrid Mortensen, Risk &amp; conduct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Bellhaven concentration, producer oversight and conduct-monitoring exposure.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Control readiness is not fully evidenced. Complaints/conduct monitoring are proposed or preliminary, not observed adverse findings.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b/>
          <w:color w:val="1F4E79"/>
          <w:sz w:val="30"/>
        </w:rPr>
        <w:t>Interpretation</w:t>
      </w:r>
    </w:p>
    <w:p>
      <w:pPr>
        <w:spacing w:after="60" w:line="245" w:lineRule="auto"/>
      </w:pPr>
      <w:r>
        <w:rPr>
          <w:sz w:val="18"/>
        </w:rPr>
        <w:t>FINANCE JUDGEMENT — The workbook is strong for short-horizon comparative economics once Notes are applied. Stakeholder evidence is decision-relevant but not homogeneous: Magda and Farida speak from channel interests; Aneta supplies the critical time-horizon qualification; Paloma and Astrid identify execution and control conditions. The record corroborates that a fast transition is operationally material, but does not establish a completed Bellhaven control environment or a contractual capacity commitment.</w:t>
      </w:r>
    </w:p>
    <w:p>
      <w:r>
        <w:br w:type="page"/>
      </w:r>
    </w:p>
    <w:p>
      <w:pPr>
        <w:spacing w:before="60" w:after="60"/>
      </w:pPr>
      <w:r>
        <w:rPr>
          <w:b/>
          <w:color w:val="1F4E79"/>
          <w:sz w:val="30"/>
        </w:rPr>
        <w:t>5 | Options assessed on the enterprise 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8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Direction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Economics &amp; quality</w:t>
            </w:r>
          </w:p>
        </w:tc>
        <w:tc>
          <w:tcPr>
            <w:tcW w:type="dxa" w:w="30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Execution / control / reversibility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Continue career-agency funding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Higher three-year distribution cost; shrinking premium and rising unit acquisition cost. Lower early lapse and mature cohorts reported as more persistent.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Preserves service continuity and agency capability. Does not capture Bellhaven’s lower unit acquisition cost; staffing pressure remains.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Shift new business toward Bellhaven independent producers</w:t>
            </w:r>
          </w:p>
        </w:tc>
        <w:tc>
          <w:tcPr>
            <w:tcW w:type="dxa" w:w="36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Lower unit acquisition cost; premium and policy growth; forecast contribution measure higher. Higher early lapse signal; mature downside remains unknown.</w:t>
            </w:r>
          </w:p>
        </w:tc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Requires transition cost, onboarding and systems work. Adds Bellhaven concentration; capacity/terms conditional; oversight readiness unproven. Agency stand-down is materially difficult to reverse.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Deliberately staged / hybrid course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Accepts some delayed cost benefit while testing the forecast economics by channel. Keeps a career comparator for lapse and later cohort evidence.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Allocation staging is reversible; preserve agency core. Gate further allocation on capacity, controls, early performance and contract-cycle review before an irreversible stand-down.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b/>
          <w:color w:val="1F4E79"/>
          <w:sz w:val="30"/>
        </w:rPr>
        <w:t>Finance conclusion</w:t>
      </w:r>
    </w:p>
    <w:p>
      <w:pPr>
        <w:spacing w:after="60" w:line="245" w:lineRule="auto"/>
      </w:pPr>
      <w:r>
        <w:rPr>
          <w:sz w:val="18"/>
        </w:rPr>
        <w:t>FINANCE JUDGEMENT — The staged course best fits the declared enterprise frame. It does not deny Bellhaven’s acquisition advantage; it prices the option to learn before removing a channel whose mature persistency value cannot yet be observed and whose restoration would be difficult. A full Bellhaven shift now would convert conditional capacity and incomplete control evidence into an irreversible operating decision.</w:t>
      </w:r>
    </w:p>
    <w:p>
      <w:r>
        <w:br w:type="page"/>
      </w:r>
    </w:p>
    <w:p>
      <w:pPr>
        <w:spacing w:before="60" w:after="60"/>
      </w:pPr>
      <w:r>
        <w:rPr>
          <w:b/>
          <w:color w:val="1F4E79"/>
          <w:sz w:val="30"/>
        </w:rPr>
        <w:t>6 | Recommended board decision and decision gates</w:t>
      </w:r>
    </w:p>
    <w:p>
      <w:pPr>
        <w:spacing w:after="60" w:line="245" w:lineRule="auto"/>
      </w:pPr>
      <w:r>
        <w:rPr>
          <w:sz w:val="20"/>
        </w:rPr>
        <w:t>FINANCE JUDGEMENT — Approve staged new-business allocation toward Bellhaven for the next cycle, retain and fund the career-agency core, and withhold approval for a stand-down. Authorize Finance, Operations and Risk to negotiate and execute only within the gates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Evidence required before increasing Bellhaven allocation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Decision action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Commercial / capacity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Bellhaven confirms producer allocation and onboarding slots; terms remain non-exclusive unless separately executed.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higher allocation if capacity remains indicative or onboarding cannot support service.</w:t>
            </w:r>
          </w:p>
        </w:tc>
      </w:tr>
      <w:tr>
        <w:tc>
          <w:tcPr>
            <w:tcW w:type="dxa" w:w="180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Operating readiness</w:t>
            </w:r>
          </w:p>
        </w:tc>
        <w:tc>
          <w:tcPr>
            <w:tcW w:type="dxa" w:w="482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Paloma’s systems, training, producer onboarding and service-routing plan has dated owners; reassignment/severance estimates refreshed.</w:t>
            </w:r>
          </w:p>
        </w:tc>
        <w:tc>
          <w:tcPr>
            <w:tcW w:type="dxa" w:w="223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Hold allocation at pilot/staged level if transition dependencies slip.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Control readiness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Astrid validates producer oversight design, complaint/conduct monitoring and concentration reporting for the proposed scale.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material expansion without documented control readiness.</w:t>
            </w:r>
          </w:p>
        </w:tc>
      </w:tr>
      <w:tr>
        <w:tc>
          <w:tcPr>
            <w:tcW w:type="dxa" w:w="180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Performance evidence</w:t>
            </w:r>
          </w:p>
        </w:tc>
        <w:tc>
          <w:tcPr>
            <w:tcW w:type="dxa" w:w="482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Channel-separated premium, policy volume, acquisition cost per policy and first-year lapse monitored against forecast.</w:t>
            </w:r>
          </w:p>
        </w:tc>
        <w:tc>
          <w:tcPr>
            <w:tcW w:type="dxa" w:w="223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Reduce/pause incremental allocation for sustained adverse variance; early lapse remains a signal, not mature persistency proof.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Contract-cycle review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Board review before the next agency-contract commitment / any stand-down decision.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Only then decide whether to retain, expand or reduce the career-agency core.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b/>
          <w:color w:val="1F4E79"/>
          <w:sz w:val="30"/>
        </w:rPr>
        <w:t>Trade-offs stated plainly</w:t>
      </w:r>
    </w:p>
    <w:p>
      <w:pPr>
        <w:pStyle w:val="ListBullet"/>
        <w:spacing w:after="20"/>
        <w:ind w:left="288"/>
      </w:pPr>
      <w:r>
        <w:rPr>
          <w:sz w:val="17"/>
        </w:rPr>
        <w:t>Short horizon: the recommended course accepts less immediate access to Bellhaven’s $34.7m three-year channel distribution cost versus the career agency’s $51.3m under the disclosed cost scope, and it may defer some growing independent-channel volume.</w:t>
      </w:r>
    </w:p>
    <w:p>
      <w:pPr>
        <w:pStyle w:val="ListBullet"/>
        <w:spacing w:after="20"/>
        <w:ind w:left="288"/>
      </w:pPr>
      <w:r>
        <w:rPr>
          <w:sz w:val="17"/>
        </w:rPr>
        <w:t>Long horizon: it preserves potential mature career-agency persistency value, while acknowledging neither channel’s mature relative outcome can be inferred from this forecast.</w:t>
      </w:r>
    </w:p>
    <w:p>
      <w:pPr>
        <w:pStyle w:val="ListBullet"/>
        <w:spacing w:after="20"/>
        <w:ind w:left="288"/>
      </w:pPr>
      <w:r>
        <w:rPr>
          <w:sz w:val="17"/>
        </w:rPr>
        <w:t>Operationally: it avoids immediate broad severance/reassignment and protects continuity while still requiring onboarding, systems and service-routing work.</w:t>
      </w:r>
    </w:p>
    <w:p>
      <w:pPr>
        <w:pStyle w:val="ListBullet"/>
        <w:spacing w:after="20"/>
        <w:ind w:left="288"/>
      </w:pPr>
      <w:r>
        <w:rPr>
          <w:sz w:val="17"/>
        </w:rPr>
        <w:t>Risk: it limits premature Bellhaven concentration and gives Risk time to evidence oversight readiness rather than treating proposed monitoring as completed control.</w:t>
      </w:r>
    </w:p>
    <w:p>
      <w:r>
        <w:br w:type="page"/>
      </w:r>
    </w:p>
    <w:p>
      <w:pPr>
        <w:spacing w:before="60" w:after="60"/>
      </w:pPr>
      <w:r>
        <w:rPr>
          <w:b/>
          <w:color w:val="1F4E79"/>
          <w:sz w:val="30"/>
        </w:rPr>
        <w:t>7 | Monitoring, review point and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2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Measure / owner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Cadence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Why it matters / trigger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Premium and new-policy volume by channel — Distribution / Finance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Monthly; board pack quarterly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Tests whether Bellhaven capacity and forecast production are materializing without masking career-agency contraction.</w:t>
            </w:r>
          </w:p>
        </w:tc>
      </w:tr>
      <w:tr>
        <w:tc>
          <w:tcPr>
            <w:tcW w:type="dxa" w:w="32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Acquisition expenditure and acquisition cost per policy by channel — Finance</w:t>
            </w:r>
          </w:p>
        </w:tc>
        <w:tc>
          <w:tcPr>
            <w:tcW w:type="dxa" w:w="15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Monthly</w:t>
            </w:r>
          </w:p>
        </w:tc>
        <w:tc>
          <w:tcPr>
            <w:tcW w:type="dxa" w:w="403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Confirms the forecast cost advantage and identifies cost creep; keep operating/support cost separately visible.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First-year lapse by channel and cohort — Actuarial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Quarterly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Early quality signal only; do not treat as mature persistency proof. Track cohorts long enough to assess the evidence gap.</w:t>
            </w:r>
          </w:p>
        </w:tc>
      </w:tr>
      <w:tr>
        <w:tc>
          <w:tcPr>
            <w:tcW w:type="dxa" w:w="32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Producer capacity, allocation, concentration and onboarding — Operations</w:t>
            </w:r>
          </w:p>
        </w:tc>
        <w:tc>
          <w:tcPr>
            <w:tcW w:type="dxa" w:w="15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Monthly during transition</w:t>
            </w:r>
          </w:p>
        </w:tc>
        <w:tc>
          <w:tcPr>
            <w:tcW w:type="dxa" w:w="403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Tests the conditional Bellhaven capacity claim and avoids reliance beyond confirmed allocation.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Oversight completion, complaints and conduct monitoring — Risk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Monthly; board escalation on exception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Shows proposed controls becoming evidenced operating controls; does not imply pre-existing adverse findings.</w:t>
            </w:r>
          </w:p>
        </w:tc>
      </w:tr>
    </w:tbl>
    <w:p>
      <w:pPr>
        <w:spacing w:after="20"/>
      </w:pPr>
    </w:p>
    <w:p>
      <w:pPr>
        <w:spacing w:after="60" w:line="245" w:lineRule="auto"/>
      </w:pPr>
      <w:r>
        <w:rPr>
          <w:sz w:val="18"/>
        </w:rPr>
        <w:t>FINANCE JUDGEMENT — The meaningful review point is before the next agency-contract-cycle commitment and before any agency stand-down. This converts monitoring into a decision gate rather than open-ended observation. The most decision-material evidence gap is mature persistency: preserve a career cohort and independently monitored Bellhaven cohorts until early lapse observations can be distinguished from mature outcomes.</w:t>
      </w:r>
    </w:p>
    <w:p>
      <w:pPr>
        <w:spacing w:before="60" w:after="60"/>
      </w:pPr>
      <w:r>
        <w:rPr>
          <w:b/>
          <w:color w:val="1F4E79"/>
          <w:sz w:val="22"/>
        </w:rPr>
        <w:t>Traceability and limitation note</w:t>
      </w:r>
    </w:p>
    <w:p>
      <w:pPr>
        <w:spacing w:after="60" w:line="245" w:lineRule="auto"/>
      </w:pPr>
      <w:r>
        <w:rPr>
          <w:sz w:val="17"/>
        </w:rPr>
        <w:t>Forecast exhibits draw only from the workbook’s detail rows after row-level Notes overrides, exclusions and reclassification. Qualitative attributions are from the stakeholder record by named speaker. No residual legacy summary error was used. The unresolved mixed-format date is not used to order actions within FY2028. Finance has not assumed a signed Bellhaven commitment, completed controls, observed complaints or numerical mature-persistency outcomes.</w:t>
      </w:r>
    </w:p>
    <w:p>
      <w:pPr>
        <w:spacing w:after="40"/>
      </w:pPr>
      <w:r>
        <w:rPr>
          <w:i/>
          <w:color w:val="595959"/>
          <w:sz w:val="14"/>
        </w:rPr>
        <w:t>Source / status: Workbook: Penhurst_distribution_working_forecast.xlsx, sheet “Forecast export.” Record: Distribution_stakeholder_record.docx. Prepared for Rutger Villalobos and Board.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5"/>
      </w:rPr>
      <w:t>Confidential — February strategy session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5"/>
      </w:rPr>
      <w:t>PENHURST MUTUAL LIFE  |  BOARD DISTRIBUTION DECISION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