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18354A"/>
          <w:sz w:val="30"/>
        </w:rPr>
        <w:t>CALL AUTHORIZATION | COLDHARBOUR COUNTER-POSITION</w:t>
      </w:r>
    </w:p>
    <w:p>
      <w:pPr>
        <w:spacing w:after="80"/>
      </w:pPr>
      <w:r>
        <w:rPr>
          <w:rFonts w:ascii="Arial" w:hAnsi="Arial"/>
          <w:sz w:val="16"/>
        </w:rPr>
        <w:t>To: Eamon Kristiansen, covering broker   |   From: Arjun Fitzgerald   |   Call: Thursday, May 14, 2026, 10:00 a.m. CT</w:t>
      </w:r>
    </w:p>
    <w:p>
      <w:pPr>
        <w:spacing w:before="80" w:after="40"/>
        <w:pBdr>
          <w:bottom w:val="single" w:sz="12" w:space="1" w:color="18354A"/>
        </w:pBdr>
      </w:pPr>
      <w:r>
        <w:rPr>
          <w:rFonts w:ascii="Arial" w:hAnsi="Arial"/>
          <w:b/>
          <w:color w:val="18354A"/>
          <w:sz w:val="20"/>
        </w:rPr>
        <w:t>1. Decision to authorize before the call</w:t>
      </w:r>
    </w:p>
    <w:p>
      <w:pPr>
        <w:spacing w:after="40" w:line="247" w:lineRule="auto"/>
      </w:pPr>
      <w:r>
        <w:rPr>
          <w:rFonts w:ascii="Arial" w:hAnsi="Arial"/>
          <w:sz w:val="16"/>
        </w:rPr>
        <w:t>Authorize one conditional package. Open with clarification and fact testing, not money. “Credit” in this memorandum means only a seller contribution shown on the closing statement; it is not a purchase-price reduction. The existing $18,400,000 contract price stays unchanged. [A; G]</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5112"/>
            <w:vAlign w:val="center"/>
            <w:shd w:fill="D9E7EF"/>
            <w:tcMar>
              <w:top w:w="50" w:type="dxa"/>
              <w:start w:w="70" w:type="dxa"/>
              <w:bottom w:w="50" w:type="dxa"/>
              <w:end w:w="70" w:type="dxa"/>
            </w:tcMar>
          </w:tcPr>
          <w:p>
            <w:pPr>
              <w:spacing w:after="0"/>
            </w:pPr>
            <w:r/>
            <w:r>
              <w:rPr>
                <w:rFonts w:ascii="Arial" w:hAnsi="Arial"/>
                <w:b/>
                <w:sz w:val="15"/>
              </w:rPr>
              <w:t>Opening position</w:t>
            </w:r>
          </w:p>
        </w:tc>
        <w:tc>
          <w:tcPr>
            <w:tcW w:type="dxa" w:w="5112"/>
            <w:vAlign w:val="center"/>
            <w:shd w:fill="D9E7EF"/>
            <w:tcMar>
              <w:top w:w="50" w:type="dxa"/>
              <w:start w:w="70" w:type="dxa"/>
              <w:bottom w:w="50" w:type="dxa"/>
              <w:end w:w="70" w:type="dxa"/>
            </w:tcMar>
          </w:tcPr>
          <w:p>
            <w:pPr>
              <w:spacing w:after="0"/>
            </w:pPr>
            <w:r/>
            <w:r>
              <w:rPr>
                <w:rFonts w:ascii="Arial" w:hAnsi="Arial"/>
                <w:b/>
                <w:sz w:val="15"/>
              </w:rPr>
              <w:t>Principal boundary</w:t>
            </w:r>
          </w:p>
        </w:tc>
      </w:tr>
      <w:tr>
        <w:tc>
          <w:tcPr>
            <w:tcW w:type="dxa" w:w="5112"/>
            <w:vAlign w:val="center"/>
            <w:tcMar>
              <w:top w:w="50" w:type="dxa"/>
              <w:start w:w="70" w:type="dxa"/>
              <w:bottom w:w="50" w:type="dxa"/>
              <w:end w:w="70" w:type="dxa"/>
            </w:tcMar>
          </w:tcPr>
          <w:p>
            <w:pPr>
              <w:spacing w:after="0"/>
            </w:pPr>
            <w:r/>
            <w:r>
              <w:rPr>
                <w:rFonts w:ascii="Arial" w:hAnsi="Arial"/>
                <w:b w:val="0"/>
                <w:sz w:val="15"/>
              </w:rPr>
              <w:t>Provide the report files, one escorted consultant-access window, and transferable-warranty records; then consider a tightly documented package only after Underhill states its mechanism and substantiates the driver.</w:t>
            </w:r>
          </w:p>
        </w:tc>
        <w:tc>
          <w:tcPr>
            <w:tcW w:type="dxa" w:w="5112"/>
            <w:vAlign w:val="center"/>
            <w:tcMar>
              <w:top w:w="50" w:type="dxa"/>
              <w:start w:w="70" w:type="dxa"/>
              <w:bottom w:w="50" w:type="dxa"/>
              <w:end w:w="70" w:type="dxa"/>
            </w:tcMar>
          </w:tcPr>
          <w:p>
            <w:pPr>
              <w:spacing w:after="0"/>
            </w:pPr>
            <w:r/>
            <w:r>
              <w:rPr>
                <w:rFonts w:ascii="Arial" w:hAnsi="Arial"/>
                <w:b w:val="0"/>
                <w:sz w:val="15"/>
              </w:rPr>
              <w:t>No binding economics. Final-stage aggregate seller exposure may not exceed $240,000 and must be a single closing-statement credit, seller-paid targeted work, or escrow within one cap, never stacked. [B-2; F]</w:t>
            </w:r>
          </w:p>
        </w:tc>
      </w:tr>
    </w:tbl>
    <w:p>
      <w:pPr>
        <w:spacing w:after="0"/>
      </w:pPr>
    </w:p>
    <w:p>
      <w:pPr>
        <w:spacing w:after="40" w:line="247" w:lineRule="auto"/>
      </w:pPr>
      <w:r>
        <w:rPr>
          <w:rFonts w:ascii="Arial" w:hAnsi="Arial"/>
          <w:sz w:val="16"/>
        </w:rPr>
        <w:t>Buyer has asked for $780,000: $380,000 refrigeration reserve + $250,000 roof reserve + $150,000 purchase-price re-trade. Attribute this to Underhill; do not call it a liability. [E-2]</w:t>
      </w:r>
    </w:p>
    <w:p>
      <w:pPr>
        <w:spacing w:after="40" w:line="247" w:lineRule="auto"/>
      </w:pPr>
      <w:r>
        <w:rPr>
          <w:rFonts w:ascii="Arial" w:hAnsi="Arial"/>
          <w:sz w:val="16"/>
        </w:rPr>
        <w:t>Non-negotiable reciprocal term: execute the 60-day east loading annex (approximately 8,000 square feet) use agreement (May 30, 2026–July 28, 2026) before or simultaneously with any material economic concession. It is the reason not to spend economic leverage first. [B; F]</w:t>
      </w:r>
    </w:p>
    <w:p>
      <w:pPr>
        <w:spacing w:before="80" w:after="40"/>
        <w:pBdr>
          <w:bottom w:val="single" w:sz="12" w:space="1" w:color="18354A"/>
        </w:pBdr>
      </w:pPr>
      <w:r>
        <w:rPr>
          <w:rFonts w:ascii="Arial" w:hAnsi="Arial"/>
          <w:b/>
          <w:color w:val="18354A"/>
          <w:sz w:val="20"/>
        </w:rPr>
        <w:t>2. Read this opening, then ask only these questions</w:t>
      </w:r>
    </w:p>
    <w:p>
      <w:pPr>
        <w:spacing w:after="40" w:line="247" w:lineRule="auto"/>
      </w:pPr>
      <w:r>
        <w:rPr>
          <w:rFonts w:ascii="Arial" w:hAnsi="Arial"/>
          <w:sz w:val="16"/>
        </w:rPr>
        <w:t>Opening language: “We have received the $780,000 request and the report materials. Before we discuss economics, I need to separate the requested remedy, the documented scope, and the closing mechanics so we can put forward one workable written package. We are prepared to address documented items in an authorized agreement, not make an open-ended commitment.”</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5400"/>
            <w:vAlign w:val="center"/>
            <w:shd w:fill="D9E7EF"/>
            <w:tcMar>
              <w:top w:w="50" w:type="dxa"/>
              <w:start w:w="70" w:type="dxa"/>
              <w:bottom w:w="50" w:type="dxa"/>
              <w:end w:w="70" w:type="dxa"/>
            </w:tcMar>
          </w:tcPr>
          <w:p>
            <w:pPr>
              <w:spacing w:after="0"/>
            </w:pPr>
            <w:r/>
            <w:r>
              <w:rPr>
                <w:rFonts w:ascii="Arial" w:hAnsi="Arial"/>
                <w:b/>
                <w:sz w:val="14"/>
              </w:rPr>
              <w:t>Ask</w:t>
            </w:r>
          </w:p>
        </w:tc>
        <w:tc>
          <w:tcPr>
            <w:tcW w:type="dxa" w:w="4824"/>
            <w:vAlign w:val="center"/>
            <w:shd w:fill="D9E7EF"/>
            <w:tcMar>
              <w:top w:w="50" w:type="dxa"/>
              <w:start w:w="70" w:type="dxa"/>
              <w:bottom w:w="50" w:type="dxa"/>
              <w:end w:w="70" w:type="dxa"/>
            </w:tcMar>
          </w:tcPr>
          <w:p>
            <w:pPr>
              <w:spacing w:after="0"/>
            </w:pPr>
            <w:r/>
            <w:r>
              <w:rPr>
                <w:rFonts w:ascii="Arial" w:hAnsi="Arial"/>
                <w:b/>
                <w:sz w:val="14"/>
              </w:rPr>
              <w:t>Why it changes the branch</w:t>
            </w:r>
          </w:p>
        </w:tc>
      </w:tr>
      <w:tr>
        <w:tc>
          <w:tcPr>
            <w:tcW w:type="dxa" w:w="5400"/>
            <w:vAlign w:val="center"/>
            <w:tcMar>
              <w:top w:w="50" w:type="dxa"/>
              <w:start w:w="70" w:type="dxa"/>
              <w:bottom w:w="50" w:type="dxa"/>
              <w:end w:w="70" w:type="dxa"/>
            </w:tcMar>
          </w:tcPr>
          <w:p>
            <w:pPr>
              <w:spacing w:after="0"/>
            </w:pPr>
            <w:r/>
            <w:r>
              <w:rPr>
                <w:rFonts w:ascii="Arial" w:hAnsi="Arial"/>
                <w:b w:val="0"/>
                <w:sz w:val="14"/>
              </w:rPr>
              <w:t>“When you say credit, do you mean a price reduction, a seller contribution shown on the closing statement, seller-paid work, or another mechanism?”</w:t>
            </w:r>
          </w:p>
        </w:tc>
        <w:tc>
          <w:tcPr>
            <w:tcW w:type="dxa" w:w="4824"/>
            <w:vAlign w:val="center"/>
            <w:tcMar>
              <w:top w:w="50" w:type="dxa"/>
              <w:start w:w="70" w:type="dxa"/>
              <w:bottom w:w="50" w:type="dxa"/>
              <w:end w:w="70" w:type="dxa"/>
            </w:tcMar>
          </w:tcPr>
          <w:p>
            <w:pPr>
              <w:spacing w:after="0"/>
            </w:pPr>
            <w:r/>
            <w:r>
              <w:rPr>
                <w:rFonts w:ascii="Arial" w:hAnsi="Arial"/>
                <w:b w:val="0"/>
                <w:sz w:val="14"/>
              </w:rPr>
              <w:t>Pins down mechanics before value moves. [E; G]</w:t>
            </w:r>
          </w:p>
        </w:tc>
      </w:tr>
      <w:tr>
        <w:tc>
          <w:tcPr>
            <w:tcW w:type="dxa" w:w="5400"/>
            <w:vAlign w:val="center"/>
            <w:tcMar>
              <w:top w:w="50" w:type="dxa"/>
              <w:start w:w="70" w:type="dxa"/>
              <w:bottom w:w="50" w:type="dxa"/>
              <w:end w:w="70" w:type="dxa"/>
            </w:tcMar>
          </w:tcPr>
          <w:p>
            <w:pPr>
              <w:spacing w:after="0"/>
            </w:pPr>
            <w:r/>
            <w:r>
              <w:rPr>
                <w:rFonts w:ascii="Arial" w:hAnsi="Arial"/>
                <w:b w:val="0"/>
                <w:sz w:val="14"/>
              </w:rPr>
              <w:t>“Is a lender, lender consultant, or underwriting condition driving any item? Please identify it and send the directive, consultant requirement, or closing-statement instruction.”</w:t>
            </w:r>
          </w:p>
        </w:tc>
        <w:tc>
          <w:tcPr>
            <w:tcW w:type="dxa" w:w="4824"/>
            <w:vAlign w:val="center"/>
            <w:tcMar>
              <w:top w:w="50" w:type="dxa"/>
              <w:start w:w="70" w:type="dxa"/>
              <w:bottom w:w="50" w:type="dxa"/>
              <w:end w:w="70" w:type="dxa"/>
            </w:tcMar>
          </w:tcPr>
          <w:p>
            <w:pPr>
              <w:spacing w:after="0"/>
            </w:pPr>
            <w:r/>
            <w:r>
              <w:rPr>
                <w:rFonts w:ascii="Arial" w:hAnsi="Arial"/>
                <w:b w:val="0"/>
                <w:sz w:val="14"/>
              </w:rPr>
              <w:t>Tests the lender hypothesis without alleging it. [E]</w:t>
            </w:r>
          </w:p>
        </w:tc>
      </w:tr>
      <w:tr>
        <w:tc>
          <w:tcPr>
            <w:tcW w:type="dxa" w:w="5400"/>
            <w:vAlign w:val="center"/>
            <w:tcMar>
              <w:top w:w="50" w:type="dxa"/>
              <w:start w:w="70" w:type="dxa"/>
              <w:bottom w:w="50" w:type="dxa"/>
              <w:end w:w="70" w:type="dxa"/>
            </w:tcMar>
          </w:tcPr>
          <w:p>
            <w:pPr>
              <w:spacing w:after="0"/>
            </w:pPr>
            <w:r/>
            <w:r>
              <w:rPr>
                <w:rFonts w:ascii="Arial" w:hAnsi="Arial"/>
                <w:b w:val="0"/>
                <w:sz w:val="14"/>
              </w:rPr>
              <w:t>“Which observed condition and which report recommendation supports each component, and who has authority to accept a documented package?”</w:t>
            </w:r>
          </w:p>
        </w:tc>
        <w:tc>
          <w:tcPr>
            <w:tcW w:type="dxa" w:w="4824"/>
            <w:vAlign w:val="center"/>
            <w:tcMar>
              <w:top w:w="50" w:type="dxa"/>
              <w:start w:w="70" w:type="dxa"/>
              <w:bottom w:w="50" w:type="dxa"/>
              <w:end w:w="70" w:type="dxa"/>
            </w:tcMar>
          </w:tcPr>
          <w:p>
            <w:pPr>
              <w:spacing w:after="0"/>
            </w:pPr>
            <w:r/>
            <w:r>
              <w:rPr>
                <w:rFonts w:ascii="Arial" w:hAnsi="Arial"/>
                <w:b w:val="0"/>
                <w:sz w:val="14"/>
              </w:rPr>
              <w:t>Separates scope and decision-maker. [C; D; E]</w:t>
            </w:r>
          </w:p>
        </w:tc>
      </w:tr>
      <w:tr>
        <w:tc>
          <w:tcPr>
            <w:tcW w:type="dxa" w:w="5400"/>
            <w:vAlign w:val="center"/>
            <w:tcMar>
              <w:top w:w="50" w:type="dxa"/>
              <w:start w:w="70" w:type="dxa"/>
              <w:bottom w:w="50" w:type="dxa"/>
              <w:end w:w="70" w:type="dxa"/>
            </w:tcMar>
          </w:tcPr>
          <w:p>
            <w:pPr>
              <w:spacing w:after="0"/>
            </w:pPr>
            <w:r/>
            <w:r>
              <w:rPr>
                <w:rFonts w:ascii="Arial" w:hAnsi="Arial"/>
                <w:b w:val="0"/>
                <w:sz w:val="14"/>
              </w:rPr>
              <w:t>“What needs to be signed, and by when, to preserve the May 29 closing?”</w:t>
            </w:r>
          </w:p>
        </w:tc>
        <w:tc>
          <w:tcPr>
            <w:tcW w:type="dxa" w:w="4824"/>
            <w:vAlign w:val="center"/>
            <w:tcMar>
              <w:top w:w="50" w:type="dxa"/>
              <w:start w:w="70" w:type="dxa"/>
              <w:bottom w:w="50" w:type="dxa"/>
              <w:end w:w="70" w:type="dxa"/>
            </w:tcMar>
          </w:tcPr>
          <w:p>
            <w:pPr>
              <w:spacing w:after="0"/>
            </w:pPr>
            <w:r/>
            <w:r>
              <w:rPr>
                <w:rFonts w:ascii="Arial" w:hAnsi="Arial"/>
                <w:b w:val="0"/>
                <w:sz w:val="14"/>
              </w:rPr>
              <w:t>Tests timing against the signed-document requirement. [A; E]</w:t>
            </w:r>
          </w:p>
        </w:tc>
      </w:tr>
    </w:tbl>
    <w:p>
      <w:pPr>
        <w:spacing w:after="0"/>
      </w:pPr>
    </w:p>
    <w:p>
      <w:pPr>
        <w:spacing w:after="40" w:line="247" w:lineRule="auto"/>
      </w:pPr>
      <w:r>
        <w:rPr>
          <w:rFonts w:ascii="Arial" w:hAnsi="Arial"/>
          <w:sz w:val="16"/>
        </w:rPr>
        <w:t>Inference, not fact: the May 8 request for a “clean statement” from Underhill’s Indiana financing team, the May 12 question about a closing-statement item, and the request for consultant files may be consistent with lender re-underwriting. No lender instruction or condition has been provided. [E]</w:t>
      </w:r>
    </w:p>
    <w:p>
      <w:pPr>
        <w:spacing w:before="80" w:after="40"/>
        <w:pBdr>
          <w:bottom w:val="single" w:sz="12" w:space="1" w:color="18354A"/>
        </w:pBdr>
      </w:pPr>
      <w:r>
        <w:rPr>
          <w:rFonts w:ascii="Arial" w:hAnsi="Arial"/>
          <w:b/>
          <w:color w:val="18354A"/>
          <w:sz w:val="20"/>
        </w:rPr>
        <w:t>3. Ordered concession sequence | value only releases through the gate</w:t>
      </w:r>
    </w:p>
    <w:tbl>
      <w:tblPr>
        <w:tblStyle w:val="TableGrid"/>
        <w:tblW w:type="auto" w:w="0"/>
        <w:jc w:val="center"/>
        <w:tblLayout w:type="fixed"/>
        <w:tblLook w:firstColumn="1" w:firstRow="1" w:lastColumn="0" w:lastRow="0" w:noHBand="0" w:noVBand="1" w:val="04A0"/>
      </w:tblPr>
      <w:tblGrid>
        <w:gridCol w:w="3581"/>
        <w:gridCol w:w="3581"/>
        <w:gridCol w:w="3581"/>
      </w:tblGrid>
      <w:tr>
        <w:trPr>
          <w:tblHeader w:val="true"/>
        </w:trPr>
        <w:tc>
          <w:tcPr>
            <w:tcW w:type="dxa" w:w="936"/>
            <w:vAlign w:val="center"/>
            <w:shd w:fill="D9E7EF"/>
            <w:tcMar>
              <w:top w:w="50" w:type="dxa"/>
              <w:start w:w="70" w:type="dxa"/>
              <w:bottom w:w="50" w:type="dxa"/>
              <w:end w:w="70" w:type="dxa"/>
            </w:tcMar>
          </w:tcPr>
          <w:p>
            <w:pPr>
              <w:spacing w:after="0"/>
            </w:pPr>
            <w:r/>
            <w:r>
              <w:rPr>
                <w:rFonts w:ascii="Arial" w:hAnsi="Arial"/>
                <w:b/>
                <w:sz w:val="14"/>
              </w:rPr>
              <w:t>Stage</w:t>
            </w:r>
          </w:p>
        </w:tc>
        <w:tc>
          <w:tcPr>
            <w:tcW w:type="dxa" w:w="4896"/>
            <w:vAlign w:val="center"/>
            <w:shd w:fill="D9E7EF"/>
            <w:tcMar>
              <w:top w:w="50" w:type="dxa"/>
              <w:start w:w="70" w:type="dxa"/>
              <w:bottom w:w="50" w:type="dxa"/>
              <w:end w:w="70" w:type="dxa"/>
            </w:tcMar>
          </w:tcPr>
          <w:p>
            <w:pPr>
              <w:spacing w:after="0"/>
            </w:pPr>
            <w:r/>
            <w:r>
              <w:rPr>
                <w:rFonts w:ascii="Arial" w:hAnsi="Arial"/>
                <w:b/>
                <w:sz w:val="14"/>
              </w:rPr>
              <w:t>What Eamon may give or say</w:t>
            </w:r>
          </w:p>
        </w:tc>
        <w:tc>
          <w:tcPr>
            <w:tcW w:type="dxa" w:w="4392"/>
            <w:vAlign w:val="center"/>
            <w:shd w:fill="D9E7EF"/>
            <w:tcMar>
              <w:top w:w="50" w:type="dxa"/>
              <w:start w:w="70" w:type="dxa"/>
              <w:bottom w:w="50" w:type="dxa"/>
              <w:end w:w="70" w:type="dxa"/>
            </w:tcMar>
          </w:tcPr>
          <w:p>
            <w:pPr>
              <w:spacing w:after="0"/>
            </w:pPr>
            <w:r/>
            <w:r>
              <w:rPr>
                <w:rFonts w:ascii="Arial" w:hAnsi="Arial"/>
                <w:b/>
                <w:sz w:val="14"/>
              </w:rPr>
              <w:t>Must obtain in return / stop</w:t>
            </w:r>
          </w:p>
        </w:tc>
      </w:tr>
      <w:tr>
        <w:tc>
          <w:tcPr>
            <w:tcW w:type="dxa" w:w="936"/>
            <w:vAlign w:val="center"/>
            <w:tcMar>
              <w:top w:w="50" w:type="dxa"/>
              <w:start w:w="70" w:type="dxa"/>
              <w:bottom w:w="50" w:type="dxa"/>
              <w:end w:w="70" w:type="dxa"/>
            </w:tcMar>
          </w:tcPr>
          <w:p>
            <w:pPr>
              <w:spacing w:after="0"/>
            </w:pPr>
            <w:r/>
            <w:r>
              <w:rPr>
                <w:rFonts w:ascii="Arial" w:hAnsi="Arial"/>
                <w:b w:val="0"/>
                <w:sz w:val="14"/>
              </w:rPr>
              <w:t>1. Clarify</w:t>
            </w:r>
          </w:p>
        </w:tc>
        <w:tc>
          <w:tcPr>
            <w:tcW w:type="dxa" w:w="4896"/>
            <w:vAlign w:val="center"/>
            <w:tcMar>
              <w:top w:w="50" w:type="dxa"/>
              <w:start w:w="70" w:type="dxa"/>
              <w:bottom w:w="50" w:type="dxa"/>
              <w:end w:w="70" w:type="dxa"/>
            </w:tcMar>
          </w:tcPr>
          <w:p>
            <w:pPr>
              <w:spacing w:after="0"/>
            </w:pPr>
            <w:r/>
            <w:r>
              <w:rPr>
                <w:rFonts w:ascii="Arial" w:hAnsi="Arial"/>
                <w:b w:val="0"/>
                <w:sz w:val="14"/>
              </w:rPr>
              <w:t>Acknowledge the demand; provide existing Polar/Northline files, warranty records, and offer the one escorted access window. [B-2; F]</w:t>
            </w:r>
          </w:p>
        </w:tc>
        <w:tc>
          <w:tcPr>
            <w:tcW w:type="dxa" w:w="4392"/>
            <w:vAlign w:val="center"/>
            <w:tcMar>
              <w:top w:w="50" w:type="dxa"/>
              <w:start w:w="70" w:type="dxa"/>
              <w:bottom w:w="50" w:type="dxa"/>
              <w:end w:w="70" w:type="dxa"/>
            </w:tcMar>
          </w:tcPr>
          <w:p>
            <w:pPr>
              <w:spacing w:after="0"/>
            </w:pPr>
            <w:r/>
            <w:r>
              <w:rPr>
                <w:rFonts w:ascii="Arial" w:hAnsi="Arial"/>
                <w:b w:val="0"/>
                <w:sz w:val="14"/>
              </w:rPr>
              <w:t>Obtain the mechanism, item-by-item support, decision-maker, timing, and lender evidence. STOP: no commitment while any of these is unresolved.</w:t>
            </w:r>
          </w:p>
        </w:tc>
      </w:tr>
      <w:tr>
        <w:tc>
          <w:tcPr>
            <w:tcW w:type="dxa" w:w="936"/>
            <w:vAlign w:val="center"/>
            <w:tcMar>
              <w:top w:w="50" w:type="dxa"/>
              <w:start w:w="70" w:type="dxa"/>
              <w:bottom w:w="50" w:type="dxa"/>
              <w:end w:w="70" w:type="dxa"/>
            </w:tcMar>
          </w:tcPr>
          <w:p>
            <w:pPr>
              <w:spacing w:after="0"/>
            </w:pPr>
            <w:r/>
            <w:r>
              <w:rPr>
                <w:rFonts w:ascii="Arial" w:hAnsi="Arial"/>
                <w:b w:val="0"/>
                <w:sz w:val="14"/>
              </w:rPr>
              <w:t>2. Package the non-price response</w:t>
            </w:r>
          </w:p>
        </w:tc>
        <w:tc>
          <w:tcPr>
            <w:tcW w:type="dxa" w:w="4896"/>
            <w:vAlign w:val="center"/>
            <w:tcMar>
              <w:top w:w="50" w:type="dxa"/>
              <w:start w:w="70" w:type="dxa"/>
              <w:bottom w:w="50" w:type="dxa"/>
              <w:end w:w="70" w:type="dxa"/>
            </w:tcMar>
          </w:tcPr>
          <w:p>
            <w:pPr>
              <w:spacing w:after="0"/>
            </w:pPr>
            <w:r/>
            <w:r>
              <w:rPr>
                <w:rFonts w:ascii="Arial" w:hAnsi="Arial"/>
                <w:b w:val="0"/>
                <w:sz w:val="14"/>
              </w:rPr>
              <w:t>Offer a written conditional amendment concept: consultant access, transferable-warranty records without warranty of transferability, and a choice of targeted cure or escrow limited to the two immediate report scopes. [B-2; C; D; F]</w:t>
            </w:r>
          </w:p>
        </w:tc>
        <w:tc>
          <w:tcPr>
            <w:tcW w:type="dxa" w:w="4392"/>
            <w:vAlign w:val="center"/>
            <w:tcMar>
              <w:top w:w="50" w:type="dxa"/>
              <w:start w:w="70" w:type="dxa"/>
              <w:bottom w:w="50" w:type="dxa"/>
              <w:end w:w="70" w:type="dxa"/>
            </w:tcMar>
          </w:tcPr>
          <w:p>
            <w:pPr>
              <w:spacing w:after="0"/>
            </w:pPr>
            <w:r/>
            <w:r>
              <w:rPr>
                <w:rFonts w:ascii="Arial" w:hAnsi="Arial"/>
                <w:b w:val="0"/>
                <w:sz w:val="14"/>
              </w:rPr>
              <w:t>Underhill must execute the annex agreement, confirm May 29 closing, release the addressed report items, and accept no future-performance warranty. Do not release items independently.</w:t>
            </w:r>
          </w:p>
        </w:tc>
      </w:tr>
      <w:tr>
        <w:tc>
          <w:tcPr>
            <w:tcW w:type="dxa" w:w="936"/>
            <w:vAlign w:val="center"/>
            <w:tcMar>
              <w:top w:w="50" w:type="dxa"/>
              <w:start w:w="70" w:type="dxa"/>
              <w:bottom w:w="50" w:type="dxa"/>
              <w:end w:w="70" w:type="dxa"/>
            </w:tcMar>
          </w:tcPr>
          <w:p>
            <w:pPr>
              <w:spacing w:after="0"/>
            </w:pPr>
            <w:r/>
            <w:r>
              <w:rPr>
                <w:rFonts w:ascii="Arial" w:hAnsi="Arial"/>
                <w:b w:val="0"/>
                <w:sz w:val="14"/>
              </w:rPr>
              <w:t>3. Final authorized economics</w:t>
            </w:r>
          </w:p>
        </w:tc>
        <w:tc>
          <w:tcPr>
            <w:tcW w:type="dxa" w:w="4896"/>
            <w:vAlign w:val="center"/>
            <w:tcMar>
              <w:top w:w="50" w:type="dxa"/>
              <w:start w:w="70" w:type="dxa"/>
              <w:bottom w:w="50" w:type="dxa"/>
              <w:end w:w="70" w:type="dxa"/>
            </w:tcMar>
          </w:tcPr>
          <w:p>
            <w:pPr>
              <w:spacing w:after="0"/>
            </w:pPr>
            <w:r/>
            <w:r>
              <w:rPr>
                <w:rFonts w:ascii="Arial" w:hAnsi="Arial"/>
                <w:b w:val="0"/>
                <w:sz w:val="14"/>
              </w:rPr>
              <w:t>Only if Underhill supplies lender-driven documentation and accepts the full package, say a seller contribution shown on the closing statement may be considered up to the single $240,000 cap, subject to Reina/Board approval, Jelena’s review, lender acceptance, and signed documents. [F]</w:t>
            </w:r>
          </w:p>
        </w:tc>
        <w:tc>
          <w:tcPr>
            <w:tcW w:type="dxa" w:w="4392"/>
            <w:vAlign w:val="center"/>
            <w:tcMar>
              <w:top w:w="50" w:type="dxa"/>
              <w:start w:w="70" w:type="dxa"/>
              <w:bottom w:w="50" w:type="dxa"/>
              <w:end w:w="70" w:type="dxa"/>
            </w:tcMar>
          </w:tcPr>
          <w:p>
            <w:pPr>
              <w:spacing w:after="0"/>
            </w:pPr>
            <w:r/>
            <w:r>
              <w:rPr>
                <w:rFonts w:ascii="Arial" w:hAnsi="Arial"/>
                <w:b w:val="0"/>
                <w:sz w:val="14"/>
              </w:rPr>
              <w:t>Annex and amendment signed at or before the economic concession; one exclusive remedy, offset against seller-paid work or escrow, release, no price reduction, and May 29 closing retained. Offer expires 5:00 p.m. CT on Friday, May 15, 2026. [A; F]</w:t>
            </w:r>
          </w:p>
        </w:tc>
      </w:tr>
    </w:tbl>
    <w:p>
      <w:pPr>
        <w:spacing w:after="0"/>
      </w:pPr>
    </w:p>
    <w:p>
      <w:pPr>
        <w:spacing w:after="40" w:line="247" w:lineRule="auto"/>
      </w:pPr>
      <w:r>
        <w:rPr>
          <w:rFonts w:ascii="Arial" w:hAnsi="Arial"/>
          <w:sz w:val="16"/>
        </w:rPr>
        <w:t>Cap calculation: buyer request $780,000; Board authority $240,000; current report planning allowances $145,000 + $95,000 = $240,000. The lowest applicable limit is $240,000. The Polar and Northline figures are allowances, not bids or accepted liability. [C; D; F]</w:t>
      </w:r>
    </w:p>
    <w:p>
      <w:pPr>
        <w:spacing w:before="80" w:after="40"/>
        <w:pBdr>
          <w:bottom w:val="single" w:sz="12" w:space="1" w:color="18354A"/>
        </w:pBdr>
      </w:pPr>
      <w:r>
        <w:rPr>
          <w:rFonts w:ascii="Arial" w:hAnsi="Arial"/>
          <w:b/>
          <w:color w:val="18354A"/>
          <w:sz w:val="20"/>
        </w:rPr>
        <w:t>4. Conditional call branches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520"/>
            <w:vAlign w:val="center"/>
            <w:shd w:fill="D9E7EF"/>
            <w:tcMar>
              <w:top w:w="50" w:type="dxa"/>
              <w:start w:w="70" w:type="dxa"/>
              <w:bottom w:w="50" w:type="dxa"/>
              <w:end w:w="70" w:type="dxa"/>
            </w:tcMar>
          </w:tcPr>
          <w:p>
            <w:pPr>
              <w:spacing w:after="0"/>
            </w:pPr>
            <w:r/>
            <w:r>
              <w:rPr>
                <w:rFonts w:ascii="Arial" w:hAnsi="Arial"/>
                <w:b/>
                <w:sz w:val="14"/>
              </w:rPr>
              <w:t>If Underhill...</w:t>
            </w:r>
          </w:p>
        </w:tc>
        <w:tc>
          <w:tcPr>
            <w:tcW w:type="dxa" w:w="7704"/>
            <w:vAlign w:val="center"/>
            <w:shd w:fill="D9E7EF"/>
            <w:tcMar>
              <w:top w:w="50" w:type="dxa"/>
              <w:start w:w="70" w:type="dxa"/>
              <w:bottom w:w="50" w:type="dxa"/>
              <w:end w:w="70" w:type="dxa"/>
            </w:tcMar>
          </w:tcPr>
          <w:p>
            <w:pPr>
              <w:spacing w:after="0"/>
            </w:pPr>
            <w:r/>
            <w:r>
              <w:rPr>
                <w:rFonts w:ascii="Arial" w:hAnsi="Arial"/>
                <w:b/>
                <w:sz w:val="14"/>
              </w:rPr>
              <w:t>Eamon’s authorized response</w:t>
            </w:r>
          </w:p>
        </w:tc>
      </w:tr>
      <w:tr>
        <w:tc>
          <w:tcPr>
            <w:tcW w:type="dxa" w:w="2520"/>
            <w:vAlign w:val="center"/>
            <w:tcMar>
              <w:top w:w="50" w:type="dxa"/>
              <w:start w:w="70" w:type="dxa"/>
              <w:bottom w:w="50" w:type="dxa"/>
              <w:end w:w="70" w:type="dxa"/>
            </w:tcMar>
          </w:tcPr>
          <w:p>
            <w:pPr>
              <w:spacing w:after="0"/>
            </w:pPr>
            <w:r/>
            <w:r>
              <w:rPr>
                <w:rFonts w:ascii="Arial" w:hAnsi="Arial"/>
                <w:b w:val="0"/>
                <w:sz w:val="14"/>
              </w:rPr>
              <w:t>substantiates a lender-driven requirement</w:t>
            </w:r>
          </w:p>
        </w:tc>
        <w:tc>
          <w:tcPr>
            <w:tcW w:type="dxa" w:w="7704"/>
            <w:vAlign w:val="center"/>
            <w:tcMar>
              <w:top w:w="50" w:type="dxa"/>
              <w:start w:w="70" w:type="dxa"/>
              <w:bottom w:w="50" w:type="dxa"/>
              <w:end w:w="70" w:type="dxa"/>
            </w:tcMar>
          </w:tcPr>
          <w:p>
            <w:pPr>
              <w:spacing w:after="0"/>
            </w:pPr>
            <w:r/>
            <w:r>
              <w:rPr>
                <w:rFonts w:ascii="Arial" w:hAnsi="Arial"/>
                <w:b w:val="0"/>
                <w:sz w:val="14"/>
              </w:rPr>
              <w:t>“Send the identified condition and mechanics. Subject to review, we can circulate the documented package described above. The annex agreement, release, closing schedule, and exclusive-remedy treatment travel with it.” Do not name a dollar amount before approvals.</w:t>
            </w:r>
          </w:p>
        </w:tc>
      </w:tr>
      <w:tr>
        <w:tc>
          <w:tcPr>
            <w:tcW w:type="dxa" w:w="2520"/>
            <w:vAlign w:val="center"/>
            <w:tcMar>
              <w:top w:w="50" w:type="dxa"/>
              <w:start w:w="70" w:type="dxa"/>
              <w:bottom w:w="50" w:type="dxa"/>
              <w:end w:w="70" w:type="dxa"/>
            </w:tcMar>
          </w:tcPr>
          <w:p>
            <w:pPr>
              <w:spacing w:after="0"/>
            </w:pPr>
            <w:r/>
            <w:r>
              <w:rPr>
                <w:rFonts w:ascii="Arial" w:hAnsi="Arial"/>
                <w:b w:val="0"/>
                <w:sz w:val="14"/>
              </w:rPr>
              <w:t>cannot substantiate a lender driver</w:t>
            </w:r>
          </w:p>
        </w:tc>
        <w:tc>
          <w:tcPr>
            <w:tcW w:type="dxa" w:w="7704"/>
            <w:vAlign w:val="center"/>
            <w:tcMar>
              <w:top w:w="50" w:type="dxa"/>
              <w:start w:w="70" w:type="dxa"/>
              <w:bottom w:w="50" w:type="dxa"/>
              <w:end w:w="70" w:type="dxa"/>
            </w:tcMar>
          </w:tcPr>
          <w:p>
            <w:pPr>
              <w:spacing w:after="0"/>
            </w:pPr>
            <w:r/>
            <w:r>
              <w:rPr>
                <w:rFonts w:ascii="Arial" w:hAnsi="Arial"/>
                <w:b w:val="0"/>
                <w:sz w:val="14"/>
              </w:rPr>
              <w:t>“We can make the records and access available, and we can evaluate a targeted, documented response in the written package. We are not revising price or agreeing to a cash contribution on this call.” Keep value at Stages 1-2.</w:t>
            </w:r>
          </w:p>
        </w:tc>
      </w:tr>
      <w:tr>
        <w:tc>
          <w:tcPr>
            <w:tcW w:type="dxa" w:w="2520"/>
            <w:vAlign w:val="center"/>
            <w:tcMar>
              <w:top w:w="50" w:type="dxa"/>
              <w:start w:w="70" w:type="dxa"/>
              <w:bottom w:w="50" w:type="dxa"/>
              <w:end w:w="70" w:type="dxa"/>
            </w:tcMar>
          </w:tcPr>
          <w:p>
            <w:pPr>
              <w:spacing w:after="0"/>
            </w:pPr>
            <w:r/>
            <w:r>
              <w:rPr>
                <w:rFonts w:ascii="Arial" w:hAnsi="Arial"/>
                <w:b w:val="0"/>
                <w:sz w:val="14"/>
              </w:rPr>
              <w:t>insists on the full $780,000 now</w:t>
            </w:r>
          </w:p>
        </w:tc>
        <w:tc>
          <w:tcPr>
            <w:tcW w:type="dxa" w:w="7704"/>
            <w:vAlign w:val="center"/>
            <w:tcMar>
              <w:top w:w="50" w:type="dxa"/>
              <w:start w:w="70" w:type="dxa"/>
              <w:bottom w:w="50" w:type="dxa"/>
              <w:end w:w="70" w:type="dxa"/>
            </w:tcMar>
          </w:tcPr>
          <w:p>
            <w:pPr>
              <w:spacing w:after="0"/>
            </w:pPr>
            <w:r/>
            <w:r>
              <w:rPr>
                <w:rFonts w:ascii="Arial" w:hAnsi="Arial"/>
                <w:b w:val="0"/>
                <w:sz w:val="14"/>
              </w:rPr>
              <w:t>“I do not have authority to agree to $780,000 or to a price reduction or closing credit on this call. Please provide the item support and lender basis; I will take a complete package for review.” Pause and escalate to Arjun, Reina/Board, and Jelena. [E-2; F]</w:t>
            </w:r>
          </w:p>
        </w:tc>
      </w:tr>
      <w:tr>
        <w:tc>
          <w:tcPr>
            <w:tcW w:type="dxa" w:w="2520"/>
            <w:vAlign w:val="center"/>
            <w:tcMar>
              <w:top w:w="50" w:type="dxa"/>
              <w:start w:w="70" w:type="dxa"/>
              <w:bottom w:w="50" w:type="dxa"/>
              <w:end w:w="70" w:type="dxa"/>
            </w:tcMar>
          </w:tcPr>
          <w:p>
            <w:pPr>
              <w:spacing w:after="0"/>
            </w:pPr>
            <w:r/>
            <w:r>
              <w:rPr>
                <w:rFonts w:ascii="Arial" w:hAnsi="Arial"/>
                <w:b w:val="0"/>
                <w:sz w:val="14"/>
              </w:rPr>
              <w:t>uses schedule or seller timing to demand an immediate answer</w:t>
            </w:r>
          </w:p>
        </w:tc>
        <w:tc>
          <w:tcPr>
            <w:tcW w:type="dxa" w:w="7704"/>
            <w:vAlign w:val="center"/>
            <w:tcMar>
              <w:top w:w="50" w:type="dxa"/>
              <w:start w:w="70" w:type="dxa"/>
              <w:bottom w:w="50" w:type="dxa"/>
              <w:end w:w="70" w:type="dxa"/>
            </w:tcMar>
          </w:tcPr>
          <w:p>
            <w:pPr>
              <w:spacing w:after="0"/>
            </w:pPr>
            <w:r/>
            <w:r>
              <w:rPr>
                <w:rFonts w:ascii="Arial" w:hAnsi="Arial"/>
                <w:b w:val="0"/>
                <w:sz w:val="14"/>
              </w:rPr>
              <w:t>“We are working to the May 29 schedule, but any change requires a reviewed written package. We can turn the requested materials and a package discussion promptly; I cannot improvise an amendment.” Do not mention Reina’s 1031 pressure. [A; F]</w:t>
            </w:r>
          </w:p>
        </w:tc>
      </w:tr>
    </w:tbl>
    <w:p>
      <w:pPr>
        <w:spacing w:after="0"/>
      </w:pPr>
    </w:p>
    <w:p>
      <w:pPr>
        <w:spacing w:before="80" w:after="40"/>
        <w:pBdr>
          <w:bottom w:val="single" w:sz="12" w:space="1" w:color="18354A"/>
        </w:pBdr>
      </w:pPr>
      <w:r>
        <w:rPr>
          <w:rFonts w:ascii="Arial" w:hAnsi="Arial"/>
          <w:b/>
          <w:color w:val="18354A"/>
          <w:sz w:val="20"/>
        </w:rPr>
        <w:t>5. Guardrails and controlled clarification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5616"/>
            <w:vAlign w:val="center"/>
            <w:shd w:fill="D9E7EF"/>
            <w:tcMar>
              <w:top w:w="50" w:type="dxa"/>
              <w:start w:w="70" w:type="dxa"/>
              <w:bottom w:w="50" w:type="dxa"/>
              <w:end w:w="70" w:type="dxa"/>
            </w:tcMar>
          </w:tcPr>
          <w:p>
            <w:pPr>
              <w:spacing w:after="0"/>
            </w:pPr>
            <w:r/>
            <w:r>
              <w:rPr>
                <w:rFonts w:ascii="Arial" w:hAnsi="Arial"/>
                <w:b/>
                <w:sz w:val="14"/>
              </w:rPr>
              <w:t>Never give</w:t>
            </w:r>
          </w:p>
        </w:tc>
        <w:tc>
          <w:tcPr>
            <w:tcW w:type="dxa" w:w="4608"/>
            <w:vAlign w:val="center"/>
            <w:shd w:fill="D9E7EF"/>
            <w:tcMar>
              <w:top w:w="50" w:type="dxa"/>
              <w:start w:w="70" w:type="dxa"/>
              <w:bottom w:w="50" w:type="dxa"/>
              <w:end w:w="70" w:type="dxa"/>
            </w:tcMar>
          </w:tcPr>
          <w:p>
            <w:pPr>
              <w:spacing w:after="0"/>
            </w:pPr>
            <w:r/>
            <w:r>
              <w:rPr>
                <w:rFonts w:ascii="Arial" w:hAnsi="Arial"/>
                <w:b/>
                <w:sz w:val="14"/>
              </w:rPr>
              <w:t>Reason / source</w:t>
            </w:r>
          </w:p>
        </w:tc>
      </w:tr>
      <w:tr>
        <w:tc>
          <w:tcPr>
            <w:tcW w:type="dxa" w:w="5616"/>
            <w:vAlign w:val="center"/>
            <w:tcMar>
              <w:top w:w="50" w:type="dxa"/>
              <w:start w:w="70" w:type="dxa"/>
              <w:bottom w:w="50" w:type="dxa"/>
              <w:end w:w="70" w:type="dxa"/>
            </w:tcMar>
          </w:tcPr>
          <w:p>
            <w:pPr>
              <w:spacing w:after="0"/>
            </w:pPr>
            <w:r/>
            <w:r>
              <w:rPr>
                <w:rFonts w:ascii="Arial" w:hAnsi="Arial"/>
                <w:b w:val="0"/>
                <w:sz w:val="14"/>
              </w:rPr>
              <w:t>Never give an unconditional purchase-price reduction or closing credit before the annex right and all package conditions are secured.</w:t>
            </w:r>
          </w:p>
        </w:tc>
        <w:tc>
          <w:tcPr>
            <w:tcW w:type="dxa" w:w="4608"/>
            <w:vAlign w:val="center"/>
            <w:tcMar>
              <w:top w:w="50" w:type="dxa"/>
              <w:start w:w="70" w:type="dxa"/>
              <w:bottom w:w="50" w:type="dxa"/>
              <w:end w:w="70" w:type="dxa"/>
            </w:tcMar>
          </w:tcPr>
          <w:p>
            <w:pPr>
              <w:spacing w:after="0"/>
            </w:pPr>
            <w:r/>
            <w:r>
              <w:rPr>
                <w:rFonts w:ascii="Arial" w:hAnsi="Arial"/>
                <w:b w:val="0"/>
                <w:sz w:val="14"/>
              </w:rPr>
              <w:t>The agreement price remains unchanged unless amended; annex is the owner priority. [A; B; F]</w:t>
            </w:r>
          </w:p>
        </w:tc>
      </w:tr>
      <w:tr>
        <w:tc>
          <w:tcPr>
            <w:tcW w:type="dxa" w:w="5616"/>
            <w:vAlign w:val="center"/>
            <w:tcMar>
              <w:top w:w="50" w:type="dxa"/>
              <w:start w:w="70" w:type="dxa"/>
              <w:bottom w:w="50" w:type="dxa"/>
              <w:end w:w="70" w:type="dxa"/>
            </w:tcMar>
          </w:tcPr>
          <w:p>
            <w:pPr>
              <w:spacing w:after="0"/>
            </w:pPr>
            <w:r/>
            <w:r>
              <w:rPr>
                <w:rFonts w:ascii="Arial" w:hAnsi="Arial"/>
                <w:b w:val="0"/>
                <w:sz w:val="14"/>
              </w:rPr>
              <w:t>Never give an uncapped or open-ended obligation to repair report items.</w:t>
            </w:r>
          </w:p>
        </w:tc>
        <w:tc>
          <w:tcPr>
            <w:tcW w:type="dxa" w:w="4608"/>
            <w:vAlign w:val="center"/>
            <w:tcMar>
              <w:top w:w="50" w:type="dxa"/>
              <w:start w:w="70" w:type="dxa"/>
              <w:bottom w:w="50" w:type="dxa"/>
              <w:end w:w="70" w:type="dxa"/>
            </w:tcMar>
          </w:tcPr>
          <w:p>
            <w:pPr>
              <w:spacing w:after="0"/>
            </w:pPr>
            <w:r/>
            <w:r>
              <w:rPr>
                <w:rFonts w:ascii="Arial" w:hAnsi="Arial"/>
                <w:b w:val="0"/>
                <w:sz w:val="14"/>
              </w:rPr>
              <w:t>Reports contain exclusions, further investigation, future work, and planning allowances. [C; D; F]</w:t>
            </w:r>
          </w:p>
        </w:tc>
      </w:tr>
      <w:tr>
        <w:tc>
          <w:tcPr>
            <w:tcW w:type="dxa" w:w="5616"/>
            <w:vAlign w:val="center"/>
            <w:tcMar>
              <w:top w:w="50" w:type="dxa"/>
              <w:start w:w="70" w:type="dxa"/>
              <w:bottom w:w="50" w:type="dxa"/>
              <w:end w:w="70" w:type="dxa"/>
            </w:tcMar>
          </w:tcPr>
          <w:p>
            <w:pPr>
              <w:spacing w:after="0"/>
            </w:pPr>
            <w:r/>
            <w:r>
              <w:rPr>
                <w:rFonts w:ascii="Arial" w:hAnsi="Arial"/>
                <w:b w:val="0"/>
                <w:sz w:val="14"/>
              </w:rPr>
              <w:t>Never give broad assurances about the roof, refrigeration system, or future performance.</w:t>
            </w:r>
          </w:p>
        </w:tc>
        <w:tc>
          <w:tcPr>
            <w:tcW w:type="dxa" w:w="4608"/>
            <w:vAlign w:val="center"/>
            <w:tcMar>
              <w:top w:w="50" w:type="dxa"/>
              <w:start w:w="70" w:type="dxa"/>
              <w:bottom w:w="50" w:type="dxa"/>
              <w:end w:w="70" w:type="dxa"/>
            </w:tcMar>
          </w:tcPr>
          <w:p>
            <w:pPr>
              <w:spacing w:after="0"/>
            </w:pPr>
            <w:r/>
            <w:r>
              <w:rPr>
                <w:rFonts w:ascii="Arial" w:hAnsi="Arial"/>
                <w:b w:val="0"/>
                <w:sz w:val="14"/>
              </w:rPr>
              <w:t>Neither report is a warranty; the agreement limits survival absent writing. [A; C; D]</w:t>
            </w:r>
          </w:p>
        </w:tc>
      </w:tr>
      <w:tr>
        <w:tc>
          <w:tcPr>
            <w:tcW w:type="dxa" w:w="5616"/>
            <w:vAlign w:val="center"/>
            <w:tcMar>
              <w:top w:w="50" w:type="dxa"/>
              <w:start w:w="70" w:type="dxa"/>
              <w:bottom w:w="50" w:type="dxa"/>
              <w:end w:w="70" w:type="dxa"/>
            </w:tcMar>
          </w:tcPr>
          <w:p>
            <w:pPr>
              <w:spacing w:after="0"/>
            </w:pPr>
            <w:r/>
            <w:r>
              <w:rPr>
                <w:rFonts w:ascii="Arial" w:hAnsi="Arial"/>
                <w:b w:val="0"/>
                <w:sz w:val="14"/>
              </w:rPr>
              <w:t>Never sacrifice or defer the 60-day annex right in exchange for keeping the sale alive.</w:t>
            </w:r>
          </w:p>
        </w:tc>
        <w:tc>
          <w:tcPr>
            <w:tcW w:type="dxa" w:w="4608"/>
            <w:vAlign w:val="center"/>
            <w:tcMar>
              <w:top w:w="50" w:type="dxa"/>
              <w:start w:w="70" w:type="dxa"/>
              <w:bottom w:w="50" w:type="dxa"/>
              <w:end w:w="70" w:type="dxa"/>
            </w:tcMar>
          </w:tcPr>
          <w:p>
            <w:pPr>
              <w:spacing w:after="0"/>
            </w:pPr>
            <w:r/>
            <w:r>
              <w:rPr>
                <w:rFonts w:ascii="Arial" w:hAnsi="Arial"/>
                <w:b w:val="0"/>
                <w:sz w:val="14"/>
              </w:rPr>
              <w:t>Owner instruction makes it essential. [B]</w:t>
            </w:r>
          </w:p>
        </w:tc>
      </w:tr>
      <w:tr>
        <w:tc>
          <w:tcPr>
            <w:tcW w:type="dxa" w:w="5616"/>
            <w:vAlign w:val="center"/>
            <w:tcMar>
              <w:top w:w="50" w:type="dxa"/>
              <w:start w:w="70" w:type="dxa"/>
              <w:bottom w:w="50" w:type="dxa"/>
              <w:end w:w="70" w:type="dxa"/>
            </w:tcMar>
          </w:tcPr>
          <w:p>
            <w:pPr>
              <w:spacing w:after="0"/>
            </w:pPr>
            <w:r/>
            <w:r>
              <w:rPr>
                <w:rFonts w:ascii="Arial" w:hAnsi="Arial"/>
                <w:b w:val="0"/>
                <w:sz w:val="14"/>
              </w:rPr>
              <w:t>Never waive the signed-amendment, release, May 29 closing, or closing-document safeguards.</w:t>
            </w:r>
          </w:p>
        </w:tc>
        <w:tc>
          <w:tcPr>
            <w:tcW w:type="dxa" w:w="4608"/>
            <w:vAlign w:val="center"/>
            <w:tcMar>
              <w:top w:w="50" w:type="dxa"/>
              <w:start w:w="70" w:type="dxa"/>
              <w:bottom w:w="50" w:type="dxa"/>
              <w:end w:w="70" w:type="dxa"/>
            </w:tcMar>
          </w:tcPr>
          <w:p>
            <w:pPr>
              <w:spacing w:after="0"/>
            </w:pPr>
            <w:r/>
            <w:r>
              <w:rPr>
                <w:rFonts w:ascii="Arial" w:hAnsi="Arial"/>
                <w:b w:val="0"/>
                <w:sz w:val="14"/>
              </w:rPr>
              <w:t>They are express Board conditions. [A; F]</w:t>
            </w:r>
          </w:p>
        </w:tc>
      </w:tr>
    </w:tbl>
    <w:p>
      <w:pPr>
        <w:spacing w:after="0"/>
      </w:pPr>
    </w:p>
    <w:p>
      <w:pPr>
        <w:spacing w:after="40" w:line="247" w:lineRule="auto"/>
      </w:pPr>
      <w:r>
        <w:rPr>
          <w:rFonts w:ascii="Arial" w:hAnsi="Arial"/>
          <w:sz w:val="16"/>
        </w:rPr>
        <w:t>Truthful clarification of Eamon’s earlier statement: “I did say we would make the report items right. I am not withdrawing that; I am clarifying that the seller will address documented, authorized items through a written agreement. We did not settle scope, amount, remedy, or a warranty in that conversation.” The May 6 statement is acknowledged, but it is not a settled scope, dollar commitment, admission, or warranty. [E; F]</w:t>
      </w:r>
    </w:p>
    <w:p>
      <w:pPr>
        <w:spacing w:before="80" w:after="40"/>
        <w:pBdr>
          <w:bottom w:val="single" w:sz="12" w:space="1" w:color="18354A"/>
        </w:pBdr>
      </w:pPr>
      <w:r>
        <w:rPr>
          <w:rFonts w:ascii="Arial" w:hAnsi="Arial"/>
          <w:b/>
          <w:color w:val="18354A"/>
          <w:sz w:val="20"/>
        </w:rPr>
        <w:t>6. Report discipline, roles, and timing</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5328"/>
            <w:vAlign w:val="center"/>
            <w:shd w:fill="D9E7EF"/>
            <w:tcMar>
              <w:top w:w="50" w:type="dxa"/>
              <w:start w:w="70" w:type="dxa"/>
              <w:bottom w:w="50" w:type="dxa"/>
              <w:end w:w="70" w:type="dxa"/>
            </w:tcMar>
          </w:tcPr>
          <w:p>
            <w:pPr>
              <w:spacing w:after="0"/>
            </w:pPr>
            <w:r/>
            <w:r>
              <w:rPr>
                <w:rFonts w:ascii="Arial" w:hAnsi="Arial"/>
                <w:b/>
                <w:sz w:val="14"/>
              </w:rPr>
              <w:t>Record item</w:t>
            </w:r>
          </w:p>
        </w:tc>
        <w:tc>
          <w:tcPr>
            <w:tcW w:type="dxa" w:w="4896"/>
            <w:vAlign w:val="center"/>
            <w:shd w:fill="D9E7EF"/>
            <w:tcMar>
              <w:top w:w="50" w:type="dxa"/>
              <w:start w:w="70" w:type="dxa"/>
              <w:bottom w:w="50" w:type="dxa"/>
              <w:end w:w="70" w:type="dxa"/>
            </w:tcMar>
          </w:tcPr>
          <w:p>
            <w:pPr>
              <w:spacing w:after="0"/>
            </w:pPr>
            <w:r/>
            <w:r>
              <w:rPr>
                <w:rFonts w:ascii="Arial" w:hAnsi="Arial"/>
                <w:b/>
                <w:sz w:val="14"/>
              </w:rPr>
              <w:t>Call treatment</w:t>
            </w:r>
          </w:p>
        </w:tc>
      </w:tr>
      <w:tr>
        <w:tc>
          <w:tcPr>
            <w:tcW w:type="dxa" w:w="5328"/>
            <w:vAlign w:val="center"/>
            <w:tcMar>
              <w:top w:w="50" w:type="dxa"/>
              <w:start w:w="70" w:type="dxa"/>
              <w:bottom w:w="50" w:type="dxa"/>
              <w:end w:w="70" w:type="dxa"/>
            </w:tcMar>
          </w:tcPr>
          <w:p>
            <w:pPr>
              <w:spacing w:after="0"/>
            </w:pPr>
            <w:r/>
            <w:r>
              <w:rPr>
                <w:rFonts w:ascii="Arial" w:hAnsi="Arial"/>
                <w:b w:val="0"/>
                <w:sz w:val="14"/>
              </w:rPr>
              <w:t>Refrigeration: observed corrosion/seepage at three valve assemblies; immediate replacement allowance $145,000. Further wall-thickness/insulation verification is unpriced; system-wide modernization is future work. [C]</w:t>
            </w:r>
          </w:p>
        </w:tc>
        <w:tc>
          <w:tcPr>
            <w:tcW w:type="dxa" w:w="4896"/>
            <w:vAlign w:val="center"/>
            <w:tcMar>
              <w:top w:w="50" w:type="dxa"/>
              <w:start w:w="70" w:type="dxa"/>
              <w:bottom w:w="50" w:type="dxa"/>
              <w:end w:w="70" w:type="dxa"/>
            </w:tcMar>
          </w:tcPr>
          <w:p>
            <w:pPr>
              <w:spacing w:after="0"/>
            </w:pPr>
            <w:r/>
            <w:r>
              <w:rPr>
                <w:rFonts w:ascii="Arial" w:hAnsi="Arial"/>
                <w:b w:val="0"/>
                <w:sz w:val="14"/>
              </w:rPr>
              <w:t>Only the three-assembly immediate recommendation is within the authority reference point. Do not absorb concealed conditions, abatement, controls, downtime, or future modernization.</w:t>
            </w:r>
          </w:p>
        </w:tc>
      </w:tr>
      <w:tr>
        <w:tc>
          <w:tcPr>
            <w:tcW w:type="dxa" w:w="5328"/>
            <w:vAlign w:val="center"/>
            <w:tcMar>
              <w:top w:w="50" w:type="dxa"/>
              <w:start w:w="70" w:type="dxa"/>
              <w:bottom w:w="50" w:type="dxa"/>
              <w:end w:w="70" w:type="dxa"/>
            </w:tcMar>
          </w:tcPr>
          <w:p>
            <w:pPr>
              <w:spacing w:after="0"/>
            </w:pPr>
            <w:r/>
            <w:r>
              <w:rPr>
                <w:rFonts w:ascii="Arial" w:hAnsi="Arial"/>
                <w:b w:val="0"/>
                <w:sz w:val="14"/>
              </w:rPr>
              <w:t>Roof: localized seam/flashing deterioration; immediate repair allowance $95,000. Remaining life 3-5 years; future replacement planning range $365,000. [D]</w:t>
            </w:r>
          </w:p>
        </w:tc>
        <w:tc>
          <w:tcPr>
            <w:tcW w:type="dxa" w:w="4896"/>
            <w:vAlign w:val="center"/>
            <w:tcMar>
              <w:top w:w="50" w:type="dxa"/>
              <w:start w:w="70" w:type="dxa"/>
              <w:bottom w:w="50" w:type="dxa"/>
              <w:end w:w="70" w:type="dxa"/>
            </w:tcMar>
          </w:tcPr>
          <w:p>
            <w:pPr>
              <w:spacing w:after="0"/>
            </w:pPr>
            <w:r/>
            <w:r>
              <w:rPr>
                <w:rFonts w:ascii="Arial" w:hAnsi="Arial"/>
                <w:b w:val="0"/>
                <w:sz w:val="14"/>
              </w:rPr>
              <w:t>Only localized repair is the authority reference point. Do not convert the lifecycle range, possible wet insulation, deck conditions, or weather-dependent observations into a present obligation.</w:t>
            </w:r>
          </w:p>
        </w:tc>
      </w:tr>
    </w:tbl>
    <w:p>
      <w:pPr>
        <w:spacing w:after="0"/>
      </w:pPr>
    </w:p>
    <w:p>
      <w:pPr>
        <w:spacing w:after="40" w:line="247" w:lineRule="auto"/>
      </w:pPr>
      <w:r>
        <w:rPr>
          <w:rFonts w:ascii="Arial" w:hAnsi="Arial"/>
          <w:sz w:val="16"/>
        </w:rPr>
        <w:t>Roles: Eamon may conduct Stages 1-2 and repeat the conditional framework; he may not bind Seller. Arjun coordinates the counterproposal. Reina and Inglewood Board approve economics/annex change. Jelena approves terminology and compliance package. Illinois counsel reviews Illinois property documents, annex and release. Tax adviser/qualified intermediary confirms the federal 1031 identification issue by May 25, 2026; Buyer/lender confirms financing and closing-statement treatment. [F; G]</w:t>
      </w:r>
    </w:p>
    <w:p>
      <w:pPr>
        <w:spacing w:after="40" w:line="247" w:lineRule="auto"/>
      </w:pPr>
      <w:r>
        <w:rPr>
          <w:rFonts w:ascii="Arial" w:hAnsi="Arial"/>
          <w:sz w:val="16"/>
        </w:rPr>
        <w:t>Timetable: May 14 call -&gt; obtain evidence and authority path -&gt; circulate only a reviewed written package -&gt; acceptance/reversion at 5:00 p.m. CT on Friday, May 15, 2026 -&gt; preserve scheduled May 29, 2026 closing -&gt; annex use May 30, 2026–July 28, 2026. The May 25 1031 date is a federal timing milestone, not an Illinois or Indiana rule. Illinois matters follow the property situs; Indiana is relevant only to Underhill’s team/financing, not as presumed governing law. Counsel, tax professionals, and lender must confirm their respective consequences. [A; B; F; G]</w:t>
      </w:r>
    </w:p>
    <w:p>
      <w:pPr>
        <w:spacing w:before="80" w:after="40"/>
        <w:pBdr>
          <w:bottom w:val="single" w:sz="12" w:space="1" w:color="18354A"/>
        </w:pBdr>
      </w:pPr>
      <w:r>
        <w:rPr>
          <w:rFonts w:ascii="Arial" w:hAnsi="Arial"/>
          <w:b/>
          <w:color w:val="18354A"/>
          <w:sz w:val="20"/>
        </w:rPr>
        <w:t>7. Operative authorized call position</w:t>
      </w:r>
    </w:p>
    <w:p>
      <w:pPr>
        <w:spacing w:after="40" w:line="247" w:lineRule="auto"/>
      </w:pPr>
      <w:r>
        <w:rPr>
          <w:rFonts w:ascii="Arial" w:hAnsi="Arial"/>
          <w:sz w:val="16"/>
        </w:rPr>
        <w:t>Execute this position: no economic concession on the call. First clarify “credit,” obtain item support and lender documentation, and offer source-supported records/access. Only a complete written package, with the executed 60-day annex right, May 29 closing, release, no warranty, no stacking, and required approvals, may reach a final-stage seller contribution shown on the closing statement up to $240,000. Otherwise, stop, preserve the existing agreement, and escalate. [A; B; F]</w:t>
      </w:r>
    </w:p>
    <w:sectPr w:rsidR="00FC693F" w:rsidRPr="0006063C" w:rsidSect="00034616">
      <w:headerReference w:type="default" r:id="rId9"/>
      <w:footerReference w:type="default" r:id="rId10"/>
      <w:pgSz w:w="12240" w:h="15840"/>
      <w:pgMar w:top="691" w:right="749" w:bottom="662"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37381"/>
        <w:sz w:val="14"/>
      </w:rPr>
      <w:t>Coldharbour Provisions | Call authority record | May 13,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37381"/>
        <w:sz w:val="14"/>
      </w:rPr>
      <w:t>INGLEWOOD BOARD  |  CONFIDENTIAL NEGOTIATION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