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pPr>
      <w:r>
        <w:rPr>
          <w:rFonts w:ascii="Arial" w:hAnsi="Arial"/>
          <w:b/>
          <w:color w:val="244A63"/>
          <w:sz w:val="30"/>
        </w:rPr>
        <w:t>COURT REPORT RESPONSE + TEMPLATE</w:t>
      </w:r>
    </w:p>
    <w:p>
      <w:pPr>
        <w:spacing w:after="40" w:line="240" w:lineRule="auto"/>
      </w:pPr>
      <w:r>
        <w:rPr>
          <w:rFonts w:ascii="Arial" w:hAnsi="Arial"/>
          <w:b/>
          <w:color w:val="244A63"/>
          <w:sz w:val="18"/>
        </w:rPr>
        <w:t>For Delphine Villanueva | Sablewick Council Children’s Services (seconded by Slateford Bureau)</w:t>
      </w:r>
    </w:p>
    <w:p>
      <w:pPr>
        <w:spacing w:after="40" w:line="240" w:lineRule="auto"/>
      </w:pPr>
      <w:r>
        <w:rPr>
          <w:rFonts w:ascii="Arial" w:hAnsi="Arial"/>
          <w:b w:val="0"/>
          <w:color w:val="555555"/>
          <w:sz w:val="17"/>
        </w:rPr>
        <w:t>Purpose: a traceable correction pack for three filed reports inherited from Adaeze Braithwaite. Hearing: 12 September 2025. Prepared 20 August 2025 from the supplied record only.</w:t>
      </w:r>
    </w:p>
    <w:tbl>
      <w:tblPr>
        <w:tblStyle w:val="TableGrid"/>
        <w:tblW w:type="auto" w:w="0"/>
        <w:jc w:val="center"/>
        <w:tblLook w:firstColumn="1" w:firstRow="1" w:lastColumn="0" w:lastRow="0" w:noHBand="0" w:noVBand="1" w:val="04A0"/>
      </w:tblPr>
      <w:tblGrid>
        <w:gridCol w:w="5328"/>
        <w:gridCol w:w="5328"/>
      </w:tblGrid>
      <w:tr>
        <w:tc>
          <w:tcPr>
            <w:tcW w:type="dxa" w:w="1944"/>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6"/>
              </w:rPr>
              <w:t>Use this pack</w:t>
            </w:r>
          </w:p>
        </w:tc>
        <w:tc>
          <w:tcPr>
            <w:tcW w:type="dxa" w:w="8280"/>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6"/>
              </w:rPr>
              <w:t>What it gives you</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1. Review</w:t>
            </w:r>
          </w:p>
        </w:tc>
        <w:tc>
          <w:tcPr>
            <w:tcW w:type="dxa" w:w="828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Eight line-level corrections, source and replacement wording.</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2. Court route</w:t>
            </w:r>
          </w:p>
        </w:tc>
        <w:tc>
          <w:tcPr>
            <w:tcW w:type="dxa" w:w="828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Amendment/addendum wording that preserves the filed originals.</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3. Guardian reply</w:t>
            </w:r>
          </w:p>
        </w:tc>
        <w:tc>
          <w:tcPr>
            <w:tcW w:type="dxa" w:w="828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A concise answer to Nikolai Asante, including Ivo Toledano’s earlier promise.</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4. Reusable form</w:t>
            </w:r>
          </w:p>
        </w:tc>
        <w:tc>
          <w:tcPr>
            <w:tcW w:type="dxa" w:w="828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Structured template for transition and post-retirement use.</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5. Action panel</w:t>
            </w:r>
          </w:p>
        </w:tc>
        <w:tc>
          <w:tcPr>
            <w:tcW w:type="dxa" w:w="828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6"/>
              </w:rPr>
              <w:t>Owners, approvals, deadlines and audit record.</w:t>
            </w:r>
          </w:p>
        </w:tc>
      </w:tr>
    </w:tbl>
    <w:p>
      <w:pPr>
        <w:spacing w:before="60" w:after="60"/>
      </w:pPr>
      <w:r>
        <w:rPr>
          <w:rFonts w:ascii="Arial" w:hAnsi="Arial"/>
          <w:b/>
          <w:color w:val="244A63"/>
          <w:sz w:val="21"/>
        </w:rPr>
        <w:t>Working rule</w:t>
      </w:r>
    </w:p>
    <w:p>
      <w:pPr>
        <w:spacing w:after="40" w:line="240" w:lineRule="auto"/>
      </w:pPr>
      <w:r>
        <w:rPr>
          <w:rFonts w:ascii="Arial" w:hAnsi="Arial"/>
          <w:b w:val="0"/>
          <w:sz w:val="17"/>
        </w:rPr>
        <w:t>Delphine reviews and proposes corrections; she did not attend the recorded visits and must not write as though she did. The original reports remain part of the court record. Use “not observed”, “not known” or “unverified” where the bundle does not establish more.</w:t>
      </w:r>
    </w:p>
    <w:p>
      <w:pPr>
        <w:spacing w:before="60" w:after="60"/>
      </w:pPr>
      <w:r>
        <w:rPr>
          <w:rFonts w:ascii="Arial" w:hAnsi="Arial"/>
          <w:b/>
          <w:color w:val="244A63"/>
          <w:sz w:val="21"/>
        </w:rPr>
        <w:t>Framework applied</w:t>
      </w:r>
    </w:p>
    <w:p>
      <w:pPr>
        <w:spacing w:after="40" w:line="240" w:lineRule="auto"/>
      </w:pPr>
      <w:r>
        <w:rPr>
          <w:rFonts w:ascii="Arial" w:hAnsi="Arial"/>
          <w:b w:val="0"/>
          <w:sz w:val="16"/>
        </w:rPr>
        <w:t>Social Work England standards: records should be clear, accurate, timely, sourced and distinguish fact from opinion. UK GDPR accuracy (Article 5(1)(d)) supports proportionate correction or annotation, not destruction, backdating or covert substitution of a filed document. The court decides whether/how an amendment is admitted or weighed.</w:t>
      </w:r>
    </w:p>
    <w:p>
      <w:r>
        <w:br w:type="page"/>
      </w:r>
    </w:p>
    <w:p>
      <w:pPr>
        <w:spacing w:before="60" w:after="60"/>
      </w:pPr>
      <w:r>
        <w:rPr>
          <w:rFonts w:ascii="Arial" w:hAnsi="Arial"/>
          <w:b/>
          <w:color w:val="244A63"/>
          <w:sz w:val="30"/>
        </w:rPr>
        <w:t>1 | LINE-LEVEL REVIEW (REPORTS 1–2)</w:t>
      </w:r>
    </w:p>
    <w:p>
      <w:pPr>
        <w:spacing w:after="40" w:line="240" w:lineRule="auto"/>
      </w:pPr>
      <w:r>
        <w:rPr>
          <w:rFonts w:ascii="Arial" w:hAnsi="Arial"/>
          <w:b w:val="0"/>
          <w:color w:val="555555"/>
          <w:sz w:val="16"/>
        </w:rPr>
        <w:t>Copy the quoted original exactly into the amendment schedule. “Replacement” is proposed wording for a dated addendum, not a rewritten contemporaneous account.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00"/>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Locator</w:t>
            </w:r>
          </w:p>
        </w:tc>
        <w:tc>
          <w:tcPr>
            <w:tcW w:type="dxa" w:w="2232"/>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Filed wording</w:t>
            </w:r>
          </w:p>
        </w:tc>
        <w:tc>
          <w:tcPr>
            <w:tcW w:type="dxa" w:w="3096"/>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Problem in record</w:t>
            </w:r>
          </w:p>
        </w:tc>
        <w:tc>
          <w:tcPr>
            <w:tcW w:type="dxa" w:w="3672"/>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Proposed replacement</w:t>
            </w:r>
          </w:p>
        </w:tc>
      </w:tr>
      <w:tr>
        <w:tc>
          <w:tcPr>
            <w:tcW w:type="dxa" w:w="180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R1, 14 Jun 2025, Home visit, R1-L12</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mother was evasive and was clearly concealing information.”</w:t>
            </w:r>
          </w:p>
        </w:tc>
        <w:tc>
          <w:tcPr>
            <w:tcW w:type="dxa" w:w="309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Note (5 Jun): pause/looked down before answer; no evidence of intent. Behaviour has been converted into a mental-state finding.</w:t>
            </w:r>
          </w:p>
        </w:tc>
        <w:tc>
          <w:tcPr>
            <w:tcW w:type="dxa" w:w="36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“Adaeze’s 5 June home-visit note records that the mother paused and looked down before answering a question about recent contact. The note does not record why she paused; concealment or dishonesty is not established.”</w:t>
            </w:r>
          </w:p>
        </w:tc>
      </w:tr>
      <w:tr>
        <w:tc>
          <w:tcPr>
            <w:tcW w:type="dxa" w:w="180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R1, 14 Jun 2025, Home conditions, R1-L19</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home was chaotic and unsuitable for a child.”</w:t>
            </w:r>
          </w:p>
        </w:tc>
        <w:tc>
          <w:tcPr>
            <w:tcW w:type="dxa" w:w="309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“Chaotic” is a vague evaluative label. Note records toys/laundry, but also clear exits, working utilities, food and no immediate hazard. Untidiness is not a capacity finding.</w:t>
            </w:r>
          </w:p>
        </w:tc>
        <w:tc>
          <w:tcPr>
            <w:tcW w:type="dxa" w:w="36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5 June note records toys and folded/unfolded laundry in living areas. It also records clear exits, working utilities, available food and no identified immediate hazard. The note does not establish that the home was unsuitable.”</w:t>
            </w:r>
          </w:p>
        </w:tc>
      </w:tr>
      <w:tr>
        <w:tc>
          <w:tcPr>
            <w:tcW w:type="dxa" w:w="180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R2, 21 Jun 2025, Presentation and care, R2-L08</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“Her unkempt appearance demonstrated that she could not provide consistent care.”</w:t>
            </w:r>
          </w:p>
        </w:tc>
        <w:tc>
          <w:tcPr>
            <w:tcW w:type="dxa" w:w="309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Appearance is used as a proxy for parenting capacity. Note links creased clothing/uncombed hair to a night shift and records no care deficit.</w:t>
            </w:r>
          </w:p>
        </w:tc>
        <w:tc>
          <w:tcPr>
            <w:tcW w:type="dxa" w:w="36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12 June note records creased clothing and uncombed hair after a night shift. No care deficit is recorded as linked to appearance; appearance alone is not evidence of care capacity.”</w:t>
            </w:r>
          </w:p>
        </w:tc>
      </w:tr>
      <w:tr>
        <w:tc>
          <w:tcPr>
            <w:tcW w:type="dxa" w:w="180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R2, 21 Jun 2025, Engagement, R2-L15</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“She has repeatedly failed to engage with the service.”</w:t>
            </w:r>
          </w:p>
        </w:tc>
        <w:tc>
          <w:tcPr>
            <w:tcW w:type="dxa" w:w="309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Contact history does not support “repeatedly”: one unanswered call, then attendance and two replies.</w:t>
            </w:r>
          </w:p>
        </w:tc>
        <w:tc>
          <w:tcPr>
            <w:tcW w:type="dxa" w:w="36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chronology records an unanswered call on 3 June; attendance at the arranged visit on 6 June; and replies to messages on 10 and 17 June. This record does not support a finding of repeated non-engagement.”</w:t>
            </w:r>
          </w:p>
        </w:tc>
      </w:tr>
    </w:tbl>
    <w:p>
      <w:r>
        <w:br w:type="page"/>
      </w:r>
    </w:p>
    <w:p>
      <w:pPr>
        <w:spacing w:before="60" w:after="60"/>
      </w:pPr>
      <w:r>
        <w:rPr>
          <w:rFonts w:ascii="Arial" w:hAnsi="Arial"/>
          <w:b/>
          <w:color w:val="244A63"/>
          <w:sz w:val="30"/>
        </w:rPr>
        <w:t>1 | LINE-LEVEL REVIEW (REPORTS 2–3)</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00"/>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Locator</w:t>
            </w:r>
          </w:p>
        </w:tc>
        <w:tc>
          <w:tcPr>
            <w:tcW w:type="dxa" w:w="2232"/>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Filed wording</w:t>
            </w:r>
          </w:p>
        </w:tc>
        <w:tc>
          <w:tcPr>
            <w:tcW w:type="dxa" w:w="3096"/>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Problem in record</w:t>
            </w:r>
          </w:p>
        </w:tc>
        <w:tc>
          <w:tcPr>
            <w:tcW w:type="dxa" w:w="3672"/>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Proposed replacement</w:t>
            </w:r>
          </w:p>
        </w:tc>
      </w:tr>
      <w:tr>
        <w:tc>
          <w:tcPr>
            <w:tcW w:type="dxa" w:w="180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R2, 21 Jun 2025, Direct work, R2-L27</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child appeared coached.”</w:t>
            </w:r>
          </w:p>
        </w:tc>
        <w:tc>
          <w:tcPr>
            <w:tcW w:type="dxa" w:w="309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Direct-work note records repeated phrase and question context, but no adult influence or coaching evidence. It attributes cause without basis.</w:t>
            </w:r>
          </w:p>
        </w:tc>
        <w:tc>
          <w:tcPr>
            <w:tcW w:type="dxa" w:w="36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“On 18 June the child repeated the phrase ‘Mum said it was not safe’ in the recorded question context. No coaching or influencing adult was observed or established in this note; the significance remains unresolved.”</w:t>
            </w:r>
          </w:p>
        </w:tc>
      </w:tr>
      <w:tr>
        <w:tc>
          <w:tcPr>
            <w:tcW w:type="dxa" w:w="180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R3, 28 Jun 2025, School information, R3-L06</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school confirmed neglect.”</w:t>
            </w:r>
          </w:p>
        </w:tc>
        <w:tc>
          <w:tcPr>
            <w:tcW w:type="dxa" w:w="309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School email reports two late arrivals and asks about support; it does not diagnose or confirm neglect.</w:t>
            </w:r>
          </w:p>
        </w:tc>
        <w:tc>
          <w:tcPr>
            <w:tcW w:type="dxa" w:w="36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“Priya Nair (school attendance lead) emailed on 20 June that the child arrived late on 11 and 18 June and asked whether support was needed. This is reported school information, not a school finding of neglect.”</w:t>
            </w:r>
          </w:p>
        </w:tc>
      </w:tr>
      <w:tr>
        <w:tc>
          <w:tcPr>
            <w:tcW w:type="dxa" w:w="180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R3, 28 Jun 2025, Capacity, R3-L14</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mother has no protective capacity.”</w:t>
            </w:r>
          </w:p>
        </w:tc>
        <w:tc>
          <w:tcPr>
            <w:tcW w:type="dxa" w:w="309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Absolute conclusion exceeds the bounded assessment: concern about routines/follow-through, not a complete capacity assessment.</w:t>
            </w:r>
          </w:p>
        </w:tc>
        <w:tc>
          <w:tcPr>
            <w:tcW w:type="dxa" w:w="36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24 June assessment records concern about inconsistent routines and follow-through. The available material is insufficient for an overall protective-capacity conclusion; the concern should be assessed within the court’s decision.”</w:t>
            </w:r>
          </w:p>
        </w:tc>
      </w:tr>
      <w:tr>
        <w:tc>
          <w:tcPr>
            <w:tcW w:type="dxa" w:w="180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R3, 28 Jun 2025, Risk, R3-L22</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“The child is at immediate risk.”</w:t>
            </w:r>
          </w:p>
        </w:tc>
        <w:tc>
          <w:tcPr>
            <w:tcW w:type="dxa" w:w="309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Current established risk is inferred from an uncorroborated neighbour allegation. Follow-up records no immediate harm indicator; concern remains open.</w:t>
            </w:r>
          </w:p>
        </w:tc>
        <w:tc>
          <w:tcPr>
            <w:tcW w:type="dxa" w:w="36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“A neighbour message dated 23 June alleged that the child was left alone after dark; no corroboration was supplied. At follow-up on 25 June no immediate harm indicator was recorded. The allegation remains unverified and should remain identified as a concern for assessment, not an established immediate-risk finding.”</w:t>
            </w:r>
          </w:p>
        </w:tc>
      </w:tr>
    </w:tbl>
    <w:p>
      <w:pPr>
        <w:spacing w:before="60" w:after="60"/>
      </w:pPr>
      <w:r>
        <w:rPr>
          <w:rFonts w:ascii="Arial" w:hAnsi="Arial"/>
          <w:b/>
          <w:color w:val="244A63"/>
          <w:sz w:val="21"/>
        </w:rPr>
        <w:t>Quality check before sign-off</w:t>
      </w:r>
    </w:p>
    <w:p>
      <w:pPr>
        <w:spacing w:after="40" w:line="240" w:lineRule="auto"/>
      </w:pPr>
      <w:r>
        <w:rPr>
          <w:rFonts w:ascii="Arial" w:hAnsi="Arial"/>
          <w:b w:val="0"/>
          <w:sz w:val="16"/>
        </w:rPr>
        <w:t>Each rewrite keeps adverse information that is supported, identifies who recorded it and when, and separates observed fact, reported information, analysis and uncertainty. Nothing here attributes a visit or contemporaneous observation to Delphine.</w:t>
      </w:r>
    </w:p>
    <w:p>
      <w:r>
        <w:br w:type="page"/>
      </w:r>
    </w:p>
    <w:p>
      <w:pPr>
        <w:spacing w:before="60" w:after="60"/>
      </w:pPr>
      <w:r>
        <w:rPr>
          <w:rFonts w:ascii="Arial" w:hAnsi="Arial"/>
          <w:b/>
          <w:color w:val="244A63"/>
          <w:sz w:val="30"/>
        </w:rPr>
        <w:t>2 | COURT-FACING AMENDMENT / ADDENDUM</w:t>
      </w:r>
    </w:p>
    <w:p>
      <w:pPr>
        <w:spacing w:after="40" w:line="240" w:lineRule="auto"/>
      </w:pPr>
      <w:r>
        <w:rPr>
          <w:rFonts w:ascii="Arial" w:hAnsi="Arial"/>
          <w:b/>
          <w:sz w:val="17"/>
        </w:rPr>
        <w:t>Suggested cover text (date and signatory to be completed by the authorised service):</w:t>
      </w:r>
    </w:p>
    <w:p>
      <w:pPr>
        <w:spacing w:after="40" w:line="240" w:lineRule="auto"/>
      </w:pPr>
      <w:r>
        <w:rPr>
          <w:rFonts w:ascii="Arial" w:hAnsi="Arial"/>
          <w:b w:val="0"/>
          <w:sz w:val="16"/>
        </w:rPr>
        <w:t>“Correction and amendment to filed reports dated 14 June, 21 June and 28 June 2025. The original reports authored by Adaeze Braithwaite remain part of the record and are not withdrawn, destroyed, backdated or silently replaced. This dated document is a linked amendment/addendum prepared on 20 August 2025 by Delphine Villanueva, inheriting social worker, following a record review. Delphine was not present at the visits or direct work described. The corrections below are based on the contemporaneous notes, contact chronology and communications identified in the schedule. They clarify source, evidential status and limits; they do not purport to determine the court’s treatment of the material.”</w:t>
      </w:r>
    </w:p>
    <w:tbl>
      <w:tblPr>
        <w:tblStyle w:val="TableGrid"/>
        <w:tblW w:type="auto" w:w="0"/>
        <w:jc w:val="center"/>
        <w:tblLook w:firstColumn="1" w:firstRow="1" w:lastColumn="0" w:lastRow="0" w:noHBand="0" w:noVBand="1" w:val="04A0"/>
      </w:tblPr>
      <w:tblGrid>
        <w:gridCol w:w="5328"/>
        <w:gridCol w:w="5328"/>
      </w:tblGrid>
      <w:tr>
        <w:tc>
          <w:tcPr>
            <w:tcW w:type="dxa" w:w="2448"/>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5"/>
              </w:rPr>
              <w:t>Original</w:t>
            </w:r>
          </w:p>
        </w:tc>
        <w:tc>
          <w:tcPr>
            <w:tcW w:type="dxa" w:w="7704"/>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5"/>
              </w:rPr>
              <w:t>Amendment entry</w:t>
            </w:r>
          </w:p>
        </w:tc>
      </w:tr>
      <w:tr>
        <w:tc>
          <w:tcPr>
            <w:tcW w:type="dxa" w:w="2448"/>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14 Jun | R1-L12</w:t>
            </w:r>
          </w:p>
        </w:tc>
        <w:tc>
          <w:tcPr>
            <w:tcW w:type="dxa" w:w="770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Replace the sentence with: “Adaeze’s 5 June note records a pause and looking down before an answer about recent contact; the note does not establish why, concealment or dishonesty.”</w:t>
            </w:r>
          </w:p>
        </w:tc>
      </w:tr>
      <w:tr>
        <w:tc>
          <w:tcPr>
            <w:tcW w:type="dxa" w:w="2448"/>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14 Jun | R1-L19</w:t>
            </w:r>
          </w:p>
        </w:tc>
        <w:tc>
          <w:tcPr>
            <w:tcW w:type="dxa" w:w="770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Replace with the concrete home conditions and limitation in the line schedule (toys/laundry; clear exits, utilities, food; no immediate hazard identified).</w:t>
            </w:r>
          </w:p>
        </w:tc>
      </w:tr>
      <w:tr>
        <w:tc>
          <w:tcPr>
            <w:tcW w:type="dxa" w:w="2448"/>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21 Jun | R2-L08, L15, L27</w:t>
            </w:r>
          </w:p>
        </w:tc>
        <w:tc>
          <w:tcPr>
            <w:tcW w:type="dxa" w:w="770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Replace each with the attributed appearance context/no care link; dated contact outcomes; and child’s words/context with coaching unresolved.</w:t>
            </w:r>
          </w:p>
        </w:tc>
      </w:tr>
      <w:tr>
        <w:tc>
          <w:tcPr>
            <w:tcW w:type="dxa" w:w="2448"/>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28 Jun | R3-L06, L14, L22</w:t>
            </w:r>
          </w:p>
        </w:tc>
        <w:tc>
          <w:tcPr>
            <w:tcW w:type="dxa" w:w="770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Replace each with attributed school information; bounded assessment concern; and source/verification status of the allegation and follow-up.</w:t>
            </w:r>
          </w:p>
        </w:tc>
      </w:tr>
    </w:tbl>
    <w:p>
      <w:pPr>
        <w:spacing w:before="60" w:after="60"/>
      </w:pPr>
      <w:r>
        <w:rPr>
          <w:rFonts w:ascii="Arial" w:hAnsi="Arial"/>
          <w:b/>
          <w:color w:val="244A63"/>
          <w:sz w:val="30"/>
        </w:rPr>
        <w:t>3 | RESPONSE TO NIKOLAI ASANTE</w:t>
      </w:r>
    </w:p>
    <w:p>
      <w:pPr>
        <w:spacing w:after="40" w:line="240" w:lineRule="auto"/>
      </w:pPr>
      <w:r>
        <w:rPr>
          <w:rFonts w:ascii="Arial" w:hAnsi="Arial"/>
          <w:b w:val="0"/>
          <w:sz w:val="16"/>
        </w:rPr>
        <w:t>“Dear Nikolai, Thank you for identifying the passages in the three filed reports that present interpretation as fact, use appearance as evidence of care, or state reported information and allegations with more certainty than the underlying record supports. I have reviewed the reports against Adaeze Braithwaite’s contemporaneous notes, the contact chronology, the school email and the follow-up record. The attached dated amendment identifies each affected line and proposes neutral, sourced wording. I did not attend the events described, so I do not present myself as their observer. Ivo Toledano’s 19 August message said the reports would be ‘replaced’; the record-integrity route available before the 12 September hearing is a linked amendment/addendum that leaves the filed versions visible and shows what is corrected, when, by whom and on what basis. I will send the approved material through the authorised court route; the court will decide how it is admitted and weighed. This response does not add new facts or require a new family interview.”</w:t>
      </w:r>
    </w:p>
    <w:p>
      <w:r>
        <w:br w:type="page"/>
      </w:r>
    </w:p>
    <w:p>
      <w:pPr>
        <w:spacing w:before="60" w:after="60"/>
      </w:pPr>
      <w:r>
        <w:rPr>
          <w:rFonts w:ascii="Arial" w:hAnsi="Arial"/>
          <w:b/>
          <w:color w:val="244A63"/>
          <w:sz w:val="30"/>
        </w:rPr>
        <w:t>4 | REUSABLE COURT-REPORT TEMPLATE (REVISED FORM)</w:t>
      </w:r>
    </w:p>
    <w:p>
      <w:pPr>
        <w:spacing w:after="40" w:line="240" w:lineRule="auto"/>
      </w:pPr>
      <w:r>
        <w:rPr>
          <w:rFonts w:ascii="Arial" w:hAnsi="Arial"/>
          <w:b w:val="0"/>
          <w:sz w:val="16"/>
        </w:rPr>
        <w:t>Use for reports opened on/after 1 July 2025. During transition, a legacy report may remain on its original form until 30 September 2025, but any correction must carry the bridge/amendment cover and linked audit entry. From 1 October 2025 this revised form is the sole form for new reports; the bridge is only for historical corrections.</w:t>
      </w:r>
    </w:p>
    <w:tbl>
      <w:tblPr>
        <w:tblStyle w:val="TableGrid"/>
        <w:tblW w:type="auto" w:w="0"/>
        <w:jc w:val="center"/>
        <w:tblLook w:firstColumn="1" w:firstRow="1" w:lastColumn="0" w:lastRow="0" w:noHBand="0" w:noVBand="1" w:val="04A0"/>
      </w:tblPr>
      <w:tblGrid>
        <w:gridCol w:w="5328"/>
        <w:gridCol w:w="5328"/>
      </w:tblGrid>
      <w:tr>
        <w:tc>
          <w:tcPr>
            <w:tcW w:type="dxa" w:w="2880"/>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5"/>
              </w:rPr>
              <w:t>Control</w:t>
            </w:r>
          </w:p>
        </w:tc>
        <w:tc>
          <w:tcPr>
            <w:tcW w:type="dxa" w:w="7272"/>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5"/>
              </w:rPr>
              <w:t>Complete before drafting</w:t>
            </w:r>
          </w:p>
        </w:tc>
      </w:tr>
      <w:tr>
        <w:tc>
          <w:tcPr>
            <w:tcW w:type="dxa" w:w="288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Record identity</w:t>
            </w:r>
          </w:p>
        </w:tc>
        <w:tc>
          <w:tcPr>
            <w:tcW w:type="dxa" w:w="72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Child/case identifier used in bundle: ____  Report date: ____  Hearing/date decision: ____</w:t>
            </w:r>
          </w:p>
        </w:tc>
      </w:tr>
      <w:tr>
        <w:tc>
          <w:tcPr>
            <w:tcW w:type="dxa" w:w="288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Version and provenance</w:t>
            </w:r>
          </w:p>
        </w:tc>
        <w:tc>
          <w:tcPr>
            <w:tcW w:type="dxa" w:w="72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Template version/date: ____  Author/role: ____  Reviewer/role/date: ____  Filing status: Draft / Filed / Amendment</w:t>
            </w:r>
          </w:p>
        </w:tc>
      </w:tr>
      <w:tr>
        <w:tc>
          <w:tcPr>
            <w:tcW w:type="dxa" w:w="288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Amendment linkage</w:t>
            </w:r>
          </w:p>
        </w:tc>
        <w:tc>
          <w:tcPr>
            <w:tcW w:type="dxa" w:w="72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If correcting: original report date/version/locator: ____  amendment date: ____  reason: ____  linked audit ID: ____</w:t>
            </w:r>
          </w:p>
        </w:tc>
      </w:tr>
      <w:tr>
        <w:tc>
          <w:tcPr>
            <w:tcW w:type="dxa" w:w="288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Scope note</w:t>
            </w:r>
          </w:p>
        </w:tc>
        <w:tc>
          <w:tcPr>
            <w:tcW w:type="dxa" w:w="727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5"/>
              </w:rPr>
              <w:t>Visits/interviews personally observed by author: ____  Not observed/not known: ____</w:t>
            </w:r>
          </w:p>
        </w:tc>
      </w:tr>
    </w:tbl>
    <w:p>
      <w:pPr>
        <w:spacing w:before="60" w:after="60"/>
      </w:pPr>
      <w:r>
        <w:rPr>
          <w:rFonts w:ascii="Arial" w:hAnsi="Arial"/>
          <w:b/>
          <w:color w:val="244A63"/>
          <w:sz w:val="21"/>
        </w:rPr>
        <w:t>Evidence block (repeat for each material point)</w:t>
      </w:r>
    </w:p>
    <w:tbl>
      <w:tblPr>
        <w:tblStyle w:val="TableGrid"/>
        <w:tblW w:type="auto" w:w="0"/>
        <w:jc w:val="center"/>
        <w:tblLook w:firstColumn="1" w:firstRow="1" w:lastColumn="0" w:lastRow="0" w:noHBand="0" w:noVBand="1" w:val="04A0"/>
      </w:tblPr>
      <w:tblGrid>
        <w:gridCol w:w="5328"/>
        <w:gridCol w:w="5328"/>
      </w:tblGrid>
      <w:tr>
        <w:tc>
          <w:tcPr>
            <w:tcW w:type="dxa" w:w="2232"/>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Required label</w:t>
            </w:r>
          </w:p>
        </w:tc>
        <w:tc>
          <w:tcPr>
            <w:tcW w:type="dxa" w:w="7920"/>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Prompt / entry</w:t>
            </w:r>
          </w:p>
        </w:tc>
      </w:tr>
      <w:tr>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Observed fact</w:t>
            </w:r>
          </w:p>
        </w:tc>
        <w:tc>
          <w:tcPr>
            <w:tcW w:type="dxa" w:w="79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What was directly seen/heard? Date, time, place, method and by whom. If not observed: write “not observed”.</w:t>
            </w:r>
          </w:p>
        </w:tc>
      </w:tr>
      <w:tr>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Reported information</w:t>
            </w:r>
          </w:p>
        </w:tc>
        <w:tc>
          <w:tcPr>
            <w:tcW w:type="dxa" w:w="79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Who said/wrote it (author/speaker and role), source, date, method/context, exact words where material.</w:t>
            </w:r>
          </w:p>
        </w:tc>
      </w:tr>
      <w:tr>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Verification status</w:t>
            </w:r>
          </w:p>
        </w:tc>
        <w:tc>
          <w:tcPr>
            <w:tcW w:type="dxa" w:w="79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Verified / disputed / unverified / not yet assessed. What corroborates or limits it?</w:t>
            </w:r>
          </w:p>
        </w:tc>
      </w:tr>
      <w:tr>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Professional analysis</w:t>
            </w:r>
          </w:p>
        </w:tc>
        <w:tc>
          <w:tcPr>
            <w:tcW w:type="dxa" w:w="79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What does the evidence support? Show the evidential basis, scope and confidence; do not restate an inference as fact.</w:t>
            </w:r>
          </w:p>
        </w:tc>
      </w:tr>
      <w:tr>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Alternative explanations</w:t>
            </w:r>
          </w:p>
        </w:tc>
        <w:tc>
          <w:tcPr>
            <w:tcW w:type="dxa" w:w="79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What else could explain the observation (including ordinary untidiness, tiredness, communication style or a repeated phrase)? What is not known?</w:t>
            </w:r>
          </w:p>
        </w:tc>
      </w:tr>
      <w:tr>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Relevance and impact</w:t>
            </w:r>
          </w:p>
        </w:tc>
        <w:tc>
          <w:tcPr>
            <w:tcW w:type="dxa" w:w="79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Why is this relevant to the child’s welfare, safety, needs or the decision before the court? Avoid irrelevant description.</w:t>
            </w:r>
          </w:p>
        </w:tc>
      </w:tr>
    </w:tbl>
    <w:p>
      <w:pPr>
        <w:spacing w:after="40" w:line="240" w:lineRule="auto"/>
      </w:pPr>
      <w:r>
        <w:rPr>
          <w:rFonts w:ascii="Arial" w:hAnsi="Arial"/>
          <w:b/>
          <w:color w:val="8A3C2E"/>
          <w:sz w:val="15"/>
        </w:rPr>
        <w:t>Appearance safeguard: describe personal appearance only when directly observed and materially relevant to the decision; record context. Appearance alone must never be treated as proof of neglect, credibility, engagement or parenting capacity.</w:t>
      </w:r>
    </w:p>
    <w:p>
      <w:r>
        <w:br w:type="page"/>
      </w:r>
    </w:p>
    <w:p>
      <w:pPr>
        <w:spacing w:before="60" w:after="60"/>
      </w:pPr>
      <w:r>
        <w:rPr>
          <w:rFonts w:ascii="Arial" w:hAnsi="Arial"/>
          <w:b/>
          <w:color w:val="244A63"/>
          <w:sz w:val="30"/>
        </w:rPr>
        <w:t>5 | EXECUTABLE ACTION PANEL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When / owner</w:t>
            </w:r>
          </w:p>
        </w:tc>
        <w:tc>
          <w:tcPr>
            <w:tcW w:type="dxa" w:w="4320"/>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Action</w:t>
            </w:r>
          </w:p>
        </w:tc>
        <w:tc>
          <w:tcPr>
            <w:tcW w:type="dxa" w:w="2376"/>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Check or approval</w:t>
            </w:r>
          </w:p>
        </w:tc>
        <w:tc>
          <w:tcPr>
            <w:tcW w:type="dxa" w:w="2232"/>
            <w:vAlign w:val="top"/>
            <w:shd w:fill="244A63"/>
            <w:tcBorders>
              <w:top w:val="single" w:sz="6" w:color="244A63"/>
              <w:left w:val="single" w:sz="6" w:color="244A63"/>
              <w:bottom w:val="single" w:sz="6" w:color="244A63"/>
              <w:right w:val="single" w:sz="6" w:color="244A63"/>
              <w:insideH w:val="single" w:sz="6" w:color="244A63"/>
              <w:insideV w:val="single" w:sz="6" w:color="244A63"/>
            </w:tcBorders>
          </w:tcPr>
          <w:p>
            <w:pPr>
              <w:spacing w:after="0" w:before="0"/>
            </w:pPr>
            <w:r/>
            <w:r>
              <w:rPr>
                <w:rFonts w:ascii="Arial" w:hAnsi="Arial"/>
                <w:b/>
                <w:color w:val="FFFFFF"/>
                <w:sz w:val="14"/>
              </w:rPr>
              <w:t>Record retained</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20–22 Aug | Delphine</w:t>
            </w:r>
          </w:p>
        </w:tc>
        <w:tc>
          <w:tcPr>
            <w:tcW w:type="dxa" w:w="43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Complete the eight-line schedule; cross-check each quote and source; mark “not observed” where applicable.</w:t>
            </w:r>
          </w:p>
        </w:tc>
        <w:tc>
          <w:tcPr>
            <w:tcW w:type="dxa" w:w="237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Team manager reviews scope and wording.</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Working copy with source locators.</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By 25 Aug | Ivo / manager</w:t>
            </w:r>
          </w:p>
        </w:tc>
        <w:tc>
          <w:tcPr>
            <w:tcW w:type="dxa" w:w="43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Approve amendment route and signatory; resolve the earlier “replace” assurance transparently.</w:t>
            </w:r>
          </w:p>
        </w:tc>
        <w:tc>
          <w:tcPr>
            <w:tcW w:type="dxa" w:w="237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Service/legal route if required by local court protocol.</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Approval note and version ID.</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By 27 Aug | Delphine</w:t>
            </w:r>
          </w:p>
        </w:tc>
        <w:tc>
          <w:tcPr>
            <w:tcW w:type="dxa" w:w="43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Send Nikolai the approved response and amendment/addendum through authorised channel.</w:t>
            </w:r>
          </w:p>
        </w:tc>
        <w:tc>
          <w:tcPr>
            <w:tcW w:type="dxa" w:w="237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Do not promise court acceptance.</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Sent message, attachment and date.</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By 29 Aug | authorised admin</w:t>
            </w:r>
          </w:p>
        </w:tc>
        <w:tc>
          <w:tcPr>
            <w:tcW w:type="dxa" w:w="43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Submit/file the dated amendment linked to reports of 14, 21 and 28 Jun 2025. Preserve originals.</w:t>
            </w:r>
          </w:p>
        </w:tc>
        <w:tc>
          <w:tcPr>
            <w:tcW w:type="dxa" w:w="237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Confirm receipt/filing route; court decides treatment.</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Submission receipt and audit entry.</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By 30 Sep | practice lead</w:t>
            </w:r>
          </w:p>
        </w:tc>
        <w:tc>
          <w:tcPr>
            <w:tcW w:type="dxa" w:w="43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For legacy work opened before 1 Jul, retain legacy form only with bridge/amendment cover for corrections.</w:t>
            </w:r>
          </w:p>
        </w:tc>
        <w:tc>
          <w:tcPr>
            <w:tcW w:type="dxa" w:w="237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Check retirement date.</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Template register and bridge link.</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From 1 Oct | practice lead + workers</w:t>
            </w:r>
          </w:p>
        </w:tc>
        <w:tc>
          <w:tcPr>
            <w:tcW w:type="dxa" w:w="43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Use revised form for all new reports; bridge only for historical corrections.</w:t>
            </w:r>
          </w:p>
        </w:tc>
        <w:tc>
          <w:tcPr>
            <w:tcW w:type="dxa" w:w="237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Spot-check category labels.</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Version-controlled template and review log.</w:t>
            </w:r>
          </w:p>
        </w:tc>
      </w:tr>
      <w:tr>
        <w:tc>
          <w:tcPr>
            <w:tcW w:type="dxa" w:w="1944"/>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After filing | Delphine</w:t>
            </w:r>
          </w:p>
        </w:tc>
        <w:tc>
          <w:tcPr>
            <w:tcW w:type="dxa" w:w="4320"/>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Store original, amendment, sources reviewed, approvals, communications and receipt together; do not overwrite.</w:t>
            </w:r>
          </w:p>
        </w:tc>
        <w:tc>
          <w:tcPr>
            <w:tcW w:type="dxa" w:w="2376"/>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Manager confirms retention location/access.</w:t>
            </w:r>
          </w:p>
        </w:tc>
        <w:tc>
          <w:tcPr>
            <w:tcW w:type="dxa" w:w="2232"/>
            <w:vAlign w:val="top"/>
            <w:tcBorders>
              <w:top w:val="single" w:sz="4" w:color="B8C2CC"/>
              <w:left w:val="single" w:sz="4" w:color="B8C2CC"/>
              <w:bottom w:val="single" w:sz="4" w:color="B8C2CC"/>
              <w:right w:val="single" w:sz="4" w:color="B8C2CC"/>
              <w:insideH w:val="single" w:sz="4" w:color="B8C2CC"/>
              <w:insideV w:val="single" w:sz="4" w:color="B8C2CC"/>
            </w:tcBorders>
          </w:tcPr>
          <w:p>
            <w:pPr>
              <w:spacing w:after="0" w:before="0"/>
            </w:pPr>
            <w:r/>
            <w:r>
              <w:rPr>
                <w:rFonts w:ascii="Arial" w:hAnsi="Arial"/>
                <w:b w:val="0"/>
                <w:sz w:val="14"/>
              </w:rPr>
              <w:t>Complete audit trail.</w:t>
            </w:r>
          </w:p>
        </w:tc>
      </w:tr>
    </w:tbl>
    <w:p>
      <w:pPr>
        <w:spacing w:before="60" w:after="60"/>
      </w:pPr>
      <w:r>
        <w:rPr>
          <w:rFonts w:ascii="Arial" w:hAnsi="Arial"/>
          <w:b/>
          <w:color w:val="244A63"/>
          <w:sz w:val="21"/>
        </w:rPr>
        <w:t>Before the hearing: minimum completion test</w:t>
      </w:r>
    </w:p>
    <w:p>
      <w:pPr>
        <w:pStyle w:val="ListBullet"/>
        <w:spacing w:after="20"/>
        <w:ind w:left="259"/>
      </w:pPr>
      <w:r>
        <w:rPr>
          <w:rFonts w:ascii="Arial" w:hAnsi="Arial"/>
          <w:sz w:val="16"/>
        </w:rPr>
        <w:t>Every affected line has a locator, accurate quote, source, defect and replacement.</w:t>
      </w:r>
    </w:p>
    <w:p>
      <w:pPr>
        <w:pStyle w:val="ListBullet"/>
        <w:spacing w:after="20"/>
        <w:ind w:left="259"/>
      </w:pPr>
      <w:r>
        <w:rPr>
          <w:rFonts w:ascii="Arial" w:hAnsi="Arial"/>
          <w:sz w:val="16"/>
        </w:rPr>
        <w:t>The amendment states the originals remain filed and identifies Delphine as later reviewer, not witness.</w:t>
      </w:r>
    </w:p>
    <w:p>
      <w:pPr>
        <w:pStyle w:val="ListBullet"/>
        <w:spacing w:after="20"/>
        <w:ind w:left="259"/>
      </w:pPr>
      <w:r>
        <w:rPr>
          <w:rFonts w:ascii="Arial" w:hAnsi="Arial"/>
          <w:sz w:val="16"/>
        </w:rPr>
        <w:t>Nikolai has the approved response; submission and receipt are logged by 29 August, leaving time before 12 September.</w:t>
      </w:r>
    </w:p>
    <w:p>
      <w:pPr>
        <w:pStyle w:val="ListBullet"/>
        <w:spacing w:after="20"/>
        <w:ind w:left="259"/>
      </w:pPr>
      <w:r>
        <w:rPr>
          <w:rFonts w:ascii="Arial" w:hAnsi="Arial"/>
          <w:sz w:val="16"/>
        </w:rPr>
        <w:t>No new contact with family, guardian, former worker or other source is required or undertaken.</w:t>
      </w:r>
    </w:p>
    <w:p>
      <w:pPr>
        <w:spacing w:before="60" w:after="60"/>
      </w:pPr>
      <w:r>
        <w:rPr>
          <w:rFonts w:ascii="Arial" w:hAnsi="Arial"/>
          <w:b/>
          <w:color w:val="244A63"/>
          <w:sz w:val="21"/>
        </w:rPr>
        <w:t>Handover note</w:t>
      </w:r>
    </w:p>
    <w:p>
      <w:pPr>
        <w:spacing w:after="40" w:line="240" w:lineRule="auto"/>
      </w:pPr>
      <w:r>
        <w:rPr>
          <w:rFonts w:ascii="Arial" w:hAnsi="Arial"/>
          <w:b/>
          <w:sz w:val="16"/>
        </w:rPr>
        <w:t>If a later reviewer disagrees with a proposed correction, retain both the filed original and the review trail; escalate through the authorised manager/legal route. Do not silently edit a filed version.</w:t>
      </w:r>
    </w:p>
    <w:sectPr w:rsidR="00FC693F" w:rsidRPr="0006063C" w:rsidSect="00034616">
      <w:pgSz w:w="12240" w:h="15840"/>
      <w:pgMar w:top="691"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40" w:line="240" w:lineRule="auto"/>
    </w:pPr>
    <w:rPr>
      <w:rFonts w:ascii="Arial" w:hAnsi="Arial"/>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40" w:line="240" w:lineRule="auto"/>
    </w:pPr>
    <w:rPr>
      <w:rFonts w:ascii="Arial" w:hAnsi="Arial"/>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0"/>
      <w:outlineLvl w:val="0"/>
    </w:pPr>
    <w:rPr>
      <w:rFonts w:asciiTheme="majorHAnsi" w:eastAsiaTheme="majorEastAsia" w:hAnsiTheme="majorHAnsi" w:cstheme="majorBidi" w:ascii="Arial" w:hAnsi="Arial"/>
      <w:b/>
      <w:bCs/>
      <w:color w:val="365F91" w:themeColor="accent1" w:themeShade="BF"/>
      <w:sz w:val="17"/>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Arial" w:hAnsi="Arial"/>
      <w:b/>
      <w:bCs/>
      <w:color w:val="4F81BD" w:themeColor="accent1"/>
      <w:sz w:val="17"/>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rial" w:hAnsi="Arial"/>
      <w:b/>
      <w:bCs/>
      <w:color w:val="4F81BD" w:themeColor="accent1"/>
      <w:sz w:val="17"/>
    </w:rPr>
  </w:style>
  <w:style w:type="paragraph" w:styleId="Heading4">
    <w:name w:val="heading 4"/>
    <w:basedOn w:val="Normal"/>
    <w:next w:val="Normal"/>
    <w:link w:val="Heading4Char"/>
    <w:uiPriority w:val="9"/>
    <w:semiHidden/>
    <w:unhideWhenUsed/>
    <w:qFormat/>
    <w:rsid w:val="00FC693F"/>
    <w:pPr>
      <w:keepNext/>
      <w:keepLines/>
      <w:spacing w:before="200" w:after="40"/>
      <w:outlineLvl w:val="3"/>
    </w:pPr>
    <w:rPr>
      <w:rFonts w:asciiTheme="majorHAnsi" w:eastAsiaTheme="majorEastAsia" w:hAnsiTheme="majorHAnsi" w:cstheme="majorBidi" w:ascii="Arial" w:hAnsi="Arial"/>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40"/>
      <w:outlineLvl w:val="4"/>
    </w:pPr>
    <w:rPr>
      <w:rFonts w:asciiTheme="majorHAnsi" w:eastAsiaTheme="majorEastAsia" w:hAnsiTheme="majorHAnsi" w:cstheme="majorBidi" w:ascii="Arial" w:hAnsi="Arial"/>
      <w:color w:val="243F60" w:themeColor="accent1" w:themeShade="7F"/>
      <w:sz w:val="17"/>
    </w:rPr>
  </w:style>
  <w:style w:type="paragraph" w:styleId="Heading6">
    <w:name w:val="heading 6"/>
    <w:basedOn w:val="Normal"/>
    <w:next w:val="Normal"/>
    <w:link w:val="Heading6Char"/>
    <w:uiPriority w:val="9"/>
    <w:semiHidden/>
    <w:unhideWhenUsed/>
    <w:qFormat/>
    <w:rsid w:val="00FC693F"/>
    <w:pPr>
      <w:keepNext/>
      <w:keepLines/>
      <w:spacing w:before="200" w:after="40"/>
      <w:outlineLvl w:val="5"/>
    </w:pPr>
    <w:rPr>
      <w:rFonts w:asciiTheme="majorHAnsi" w:eastAsiaTheme="majorEastAsia" w:hAnsiTheme="majorHAnsi" w:cstheme="majorBidi" w:ascii="Arial" w:hAnsi="Arial"/>
      <w:i/>
      <w:iCs/>
      <w:color w:val="243F60" w:themeColor="accent1" w:themeShade="7F"/>
      <w:sz w:val="17"/>
    </w:rPr>
  </w:style>
  <w:style w:type="paragraph" w:styleId="Heading7">
    <w:name w:val="heading 7"/>
    <w:basedOn w:val="Normal"/>
    <w:next w:val="Normal"/>
    <w:link w:val="Heading7Char"/>
    <w:uiPriority w:val="9"/>
    <w:semiHidden/>
    <w:unhideWhenUsed/>
    <w:qFormat/>
    <w:rsid w:val="00FC693F"/>
    <w:pPr>
      <w:keepNext/>
      <w:keepLines/>
      <w:spacing w:before="200" w:after="40"/>
      <w:outlineLvl w:val="6"/>
    </w:pPr>
    <w:rPr>
      <w:rFonts w:asciiTheme="majorHAnsi" w:eastAsiaTheme="majorEastAsia" w:hAnsiTheme="majorHAnsi" w:cstheme="majorBidi" w:ascii="Arial" w:hAnsi="Arial"/>
      <w:i/>
      <w:iCs/>
      <w:color w:val="404040" w:themeColor="text1" w:themeTint="BF"/>
      <w:sz w:val="17"/>
    </w:rPr>
  </w:style>
  <w:style w:type="paragraph" w:styleId="Heading8">
    <w:name w:val="heading 8"/>
    <w:basedOn w:val="Normal"/>
    <w:next w:val="Normal"/>
    <w:link w:val="Heading8Char"/>
    <w:uiPriority w:val="9"/>
    <w:semiHidden/>
    <w:unhideWhenUsed/>
    <w:qFormat/>
    <w:rsid w:val="00FC693F"/>
    <w:pPr>
      <w:keepNext/>
      <w:keepLines/>
      <w:spacing w:before="200" w:after="40"/>
      <w:outlineLvl w:val="7"/>
    </w:pPr>
    <w:rPr>
      <w:rFonts w:asciiTheme="majorHAnsi" w:eastAsiaTheme="majorEastAsia" w:hAnsiTheme="majorHAnsi" w:cstheme="majorBidi" w:ascii="Arial" w:hAnsi="Arial"/>
      <w:color w:val="4F81BD" w:themeColor="accent1"/>
      <w:sz w:val="17"/>
      <w:szCs w:val="20"/>
    </w:rPr>
  </w:style>
  <w:style w:type="paragraph" w:styleId="Heading9">
    <w:name w:val="heading 9"/>
    <w:basedOn w:val="Normal"/>
    <w:next w:val="Normal"/>
    <w:link w:val="Heading9Char"/>
    <w:uiPriority w:val="9"/>
    <w:semiHidden/>
    <w:unhideWhenUsed/>
    <w:qFormat/>
    <w:rsid w:val="00FC693F"/>
    <w:pPr>
      <w:keepNext/>
      <w:keepLines/>
      <w:spacing w:before="200" w:after="40"/>
      <w:outlineLvl w:val="8"/>
    </w:pPr>
    <w:rPr>
      <w:rFonts w:asciiTheme="majorHAnsi" w:eastAsiaTheme="majorEastAsia" w:hAnsiTheme="majorHAnsi" w:cstheme="majorBidi" w:ascii="Arial" w:hAnsi="Arial"/>
      <w:i/>
      <w:iCs/>
      <w:color w:val="404040" w:themeColor="text1" w:themeTint="BF"/>
      <w:sz w:val="1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40" w:line="240" w:lineRule="auto"/>
    </w:pPr>
    <w:rPr>
      <w:rFonts w:ascii="Arial" w:hAnsi="Arial"/>
      <w:sz w:val="1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rial" w:hAnsi="Arial"/>
      <w:color w:val="17365D" w:themeColor="text2" w:themeShade="BF"/>
      <w:spacing w:val="5"/>
      <w:kern w:val="28"/>
      <w:sz w:val="1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
    </w:pPr>
    <w:rPr>
      <w:rFonts w:asciiTheme="majorHAnsi" w:eastAsiaTheme="majorEastAsia" w:hAnsiTheme="majorHAnsi" w:cstheme="majorBidi" w:ascii="Arial" w:hAnsi="Arial"/>
      <w:i/>
      <w:iCs/>
      <w:color w:val="4F81BD" w:themeColor="accent1"/>
      <w:spacing w:val="15"/>
      <w:sz w:val="1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rPr>
      <w:rFonts w:ascii="Arial" w:hAnsi="Arial"/>
      <w:sz w:val="17"/>
    </w:rPr>
  </w:style>
  <w:style w:type="paragraph" w:styleId="BodyText">
    <w:name w:val="Body Text"/>
    <w:basedOn w:val="Normal"/>
    <w:link w:val="BodyTextChar"/>
    <w:uiPriority w:val="99"/>
    <w:unhideWhenUsed/>
    <w:rsid w:val="00AA1D8D"/>
    <w:pPr>
      <w:spacing w:after="40"/>
    </w:pPr>
    <w:rPr>
      <w:rFonts w:ascii="Arial" w:hAnsi="Arial"/>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40" w:line="480" w:lineRule="auto"/>
    </w:pPr>
    <w:rPr>
      <w:rFonts w:ascii="Arial" w:hAnsi="Arial"/>
      <w:sz w:val="17"/>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40"/>
    </w:pPr>
    <w:rPr>
      <w:rFonts w:ascii="Arial" w:hAnsi="Arial"/>
      <w:sz w:val="17"/>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40"/>
      <w:ind w:left="360" w:hanging="360"/>
      <w:contextualSpacing/>
    </w:pPr>
    <w:rPr>
      <w:rFonts w:ascii="Arial" w:hAnsi="Arial"/>
      <w:sz w:val="17"/>
    </w:rPr>
  </w:style>
  <w:style w:type="paragraph" w:styleId="List2">
    <w:name w:val="List 2"/>
    <w:basedOn w:val="Normal"/>
    <w:uiPriority w:val="99"/>
    <w:unhideWhenUsed/>
    <w:rsid w:val="00326F90"/>
    <w:pPr>
      <w:spacing w:after="40"/>
      <w:ind w:left="720" w:hanging="360"/>
      <w:contextualSpacing/>
    </w:pPr>
    <w:rPr>
      <w:rFonts w:ascii="Arial" w:hAnsi="Arial"/>
      <w:sz w:val="17"/>
    </w:rPr>
  </w:style>
  <w:style w:type="paragraph" w:styleId="List3">
    <w:name w:val="List 3"/>
    <w:basedOn w:val="Normal"/>
    <w:uiPriority w:val="99"/>
    <w:unhideWhenUsed/>
    <w:rsid w:val="00326F90"/>
    <w:pPr>
      <w:spacing w:after="40"/>
      <w:ind w:left="1080" w:hanging="360"/>
      <w:contextualSpacing/>
    </w:pPr>
    <w:rPr>
      <w:rFonts w:ascii="Arial" w:hAnsi="Arial"/>
      <w:sz w:val="17"/>
    </w:rPr>
  </w:style>
  <w:style w:type="paragraph" w:styleId="ListBullet">
    <w:name w:val="List Bullet"/>
    <w:basedOn w:val="Normal"/>
    <w:uiPriority w:val="99"/>
    <w:unhideWhenUsed/>
    <w:rsid w:val="00326F90"/>
    <w:pPr>
      <w:numPr>
        <w:numId w:val="1"/>
      </w:numPr>
      <w:spacing w:after="40"/>
      <w:contextualSpacing/>
    </w:pPr>
    <w:rPr>
      <w:rFonts w:ascii="Arial" w:hAnsi="Arial"/>
      <w:sz w:val="17"/>
    </w:rPr>
  </w:style>
  <w:style w:type="paragraph" w:styleId="ListBullet2">
    <w:name w:val="List Bullet 2"/>
    <w:basedOn w:val="Normal"/>
    <w:uiPriority w:val="99"/>
    <w:unhideWhenUsed/>
    <w:rsid w:val="00326F90"/>
    <w:pPr>
      <w:numPr>
        <w:numId w:val="2"/>
      </w:numPr>
      <w:spacing w:after="40"/>
      <w:contextualSpacing/>
    </w:pPr>
    <w:rPr>
      <w:rFonts w:ascii="Arial" w:hAnsi="Arial"/>
      <w:sz w:val="17"/>
    </w:rPr>
  </w:style>
  <w:style w:type="paragraph" w:styleId="ListBullet3">
    <w:name w:val="List Bullet 3"/>
    <w:basedOn w:val="Normal"/>
    <w:uiPriority w:val="99"/>
    <w:unhideWhenUsed/>
    <w:rsid w:val="00326F90"/>
    <w:pPr>
      <w:numPr>
        <w:numId w:val="3"/>
      </w:numPr>
      <w:spacing w:after="40"/>
      <w:contextualSpacing/>
    </w:pPr>
    <w:rPr>
      <w:rFonts w:ascii="Arial" w:hAnsi="Arial"/>
      <w:sz w:val="17"/>
    </w:rPr>
  </w:style>
  <w:style w:type="paragraph" w:styleId="ListNumber">
    <w:name w:val="List Number"/>
    <w:basedOn w:val="Normal"/>
    <w:uiPriority w:val="99"/>
    <w:unhideWhenUsed/>
    <w:rsid w:val="00326F90"/>
    <w:pPr>
      <w:numPr>
        <w:numId w:val="5"/>
      </w:numPr>
      <w:spacing w:after="40"/>
      <w:contextualSpacing/>
    </w:pPr>
    <w:rPr>
      <w:rFonts w:ascii="Arial" w:hAnsi="Arial"/>
      <w:sz w:val="17"/>
    </w:rPr>
  </w:style>
  <w:style w:type="paragraph" w:styleId="ListNumber2">
    <w:name w:val="List Number 2"/>
    <w:basedOn w:val="Normal"/>
    <w:uiPriority w:val="99"/>
    <w:unhideWhenUsed/>
    <w:rsid w:val="0029639D"/>
    <w:pPr>
      <w:numPr>
        <w:numId w:val="6"/>
      </w:numPr>
      <w:spacing w:after="40"/>
      <w:contextualSpacing/>
    </w:pPr>
    <w:rPr>
      <w:rFonts w:ascii="Arial" w:hAnsi="Arial"/>
      <w:sz w:val="17"/>
    </w:rPr>
  </w:style>
  <w:style w:type="paragraph" w:styleId="ListNumber3">
    <w:name w:val="List Number 3"/>
    <w:basedOn w:val="Normal"/>
    <w:uiPriority w:val="99"/>
    <w:unhideWhenUsed/>
    <w:rsid w:val="0029639D"/>
    <w:pPr>
      <w:numPr>
        <w:numId w:val="7"/>
      </w:numPr>
      <w:spacing w:after="40"/>
      <w:contextualSpacing/>
    </w:pPr>
    <w:rPr>
      <w:rFonts w:ascii="Arial" w:hAnsi="Arial"/>
      <w:sz w:val="17"/>
    </w:rPr>
  </w:style>
  <w:style w:type="paragraph" w:styleId="ListContinue">
    <w:name w:val="List Continue"/>
    <w:basedOn w:val="Normal"/>
    <w:uiPriority w:val="99"/>
    <w:unhideWhenUsed/>
    <w:rsid w:val="0029639D"/>
    <w:pPr>
      <w:spacing w:after="40"/>
      <w:ind w:left="360"/>
      <w:contextualSpacing/>
    </w:pPr>
    <w:rPr>
      <w:rFonts w:ascii="Arial" w:hAnsi="Arial"/>
      <w:sz w:val="17"/>
    </w:rPr>
  </w:style>
  <w:style w:type="paragraph" w:styleId="ListContinue2">
    <w:name w:val="List Continue 2"/>
    <w:basedOn w:val="Normal"/>
    <w:uiPriority w:val="99"/>
    <w:unhideWhenUsed/>
    <w:rsid w:val="0029639D"/>
    <w:pPr>
      <w:spacing w:after="40"/>
      <w:ind w:left="720"/>
      <w:contextualSpacing/>
    </w:pPr>
    <w:rPr>
      <w:rFonts w:ascii="Arial" w:hAnsi="Arial"/>
      <w:sz w:val="17"/>
    </w:rPr>
  </w:style>
  <w:style w:type="paragraph" w:styleId="ListContinue3">
    <w:name w:val="List Continue 3"/>
    <w:basedOn w:val="Normal"/>
    <w:uiPriority w:val="99"/>
    <w:unhideWhenUsed/>
    <w:rsid w:val="0029639D"/>
    <w:pPr>
      <w:spacing w:after="40"/>
      <w:ind w:left="1080"/>
      <w:contextualSpacing/>
    </w:pPr>
    <w:rPr>
      <w:rFonts w:ascii="Arial" w:hAnsi="Arial"/>
      <w:sz w:val="17"/>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40"/>
    </w:pPr>
    <w:rPr>
      <w:rFonts w:ascii="Arial" w:hAnsi="Arial"/>
      <w:sz w:val="17"/>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40"/>
    </w:pPr>
    <w:rPr>
      <w:rFonts w:ascii="Arial" w:hAnsi="Arial"/>
      <w:i/>
      <w:iCs/>
      <w:color w:val="000000" w:themeColor="text1"/>
      <w:sz w:val="17"/>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pPr>
    <w:rPr>
      <w:rFonts w:ascii="Arial" w:hAnsi="Arial"/>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40"/>
      <w:ind w:left="936" w:right="936"/>
    </w:pPr>
    <w:rPr>
      <w:rFonts w:ascii="Arial" w:hAnsi="Arial"/>
      <w:b/>
      <w:bCs/>
      <w:i/>
      <w:iCs/>
      <w:color w:val="4F81BD" w:themeColor="accent1"/>
      <w:sz w:val="1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40"/>
      <w:outlineLvl w:val="9"/>
    </w:pPr>
    <w:rPr>
      <w:rFonts w:ascii="Arial" w:hAnsi="Arial"/>
      <w:sz w:val="17"/>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report response and template</dc:title>
  <dc:subject/>
  <dc:creator>Slateford Bureau / Sablewick Council Children’s Services</dc:creator>
  <cp:keywords/>
  <dc:description>generated by python-docx</dc:description>
  <cp:lastModifiedBy/>
  <cp:revision>1</cp:revision>
  <dcterms:created xsi:type="dcterms:W3CDTF">2013-12-23T23:15:00Z</dcterms:created>
  <dcterms:modified xsi:type="dcterms:W3CDTF">2013-12-23T23:15:00Z</dcterms:modified>
  <cp:category/>
</cp:coreProperties>
</file>