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Compensation Review Guidance</w:t>
      </w:r>
    </w:p>
    <w:p>
      <w:pPr>
        <w:pStyle w:val="Subtitle"/>
      </w:pPr>
      <w:r>
        <w:t>Internal review note | issued 18 July 2026</w:t>
      </w:r>
    </w:p>
    <w:p>
      <w:pPr>
        <w:pStyle w:val="Heading1"/>
      </w:pPr>
      <w:r>
        <w:t>Scope and definitions</w:t>
      </w:r>
    </w:p>
    <w:p>
      <w:r>
        <w:t>Use only the supplied compensation extract. “Annual principal pay” is the reported annual amount in thousands of dollars. A row marked “Included distributions? = Yes” contains distributions in the reported pay and is not salary as reported. “Firm size” means the source headcount measure and its stated unit; do not substitute other business measures.</w:t>
      </w:r>
    </w:p>
    <w:p>
      <w:r>
        <w:t>Two readings are permitted when supported by documented duties: (1) Project-principal for a person leading a major client engagement without firm-wide operating responsibility; or (2) Mixed operating-principal for a person who both leads a key account and runs firm management. Select one reading for the recommendation; alternatives may be retained for context.</w:t>
      </w:r>
    </w:p>
    <w:p>
      <w:pPr>
        <w:pStyle w:val="Heading1"/>
      </w:pPr>
      <w:r>
        <w:t>Normalization convention</w:t>
      </w:r>
    </w:p>
    <w:p>
      <w:r>
        <w:t>Target the owner’s stated region and firm size. Multiply a Capital Metro observation by 0.92 when comparing it to Lakeview Metro. Multiply an observation with more than 25 Employees by 0.96 when comparing it to an 18-Employee firm. Multiply a row marked Included distributions? = Yes by 0.85 to remove the extract’s standardized distribution component before a salary comparison. Apply only the factors triggered by that row’s attributes, in this order: region, firm size, then distribution inclusion. No factor applies merely because another row has that attribute.</w:t>
      </w:r>
    </w:p>
    <w:p>
      <w:pPr>
        <w:pStyle w:val="Heading1"/>
      </w:pPr>
      <w:r>
        <w:t>Range and documentation</w:t>
      </w:r>
    </w:p>
    <w:p>
      <w:r>
        <w:t>For the selected role subset, the lower bound is the lowest adjusted annual compensation and the upper bound is the highest adjusted annual compensation. The median adjusted amount may be shown as a central reference. Carry calculations in whole dollars; round a final reported dollar to the nearest dollar. Identify source facts separately from assumptions and professional judgment, retain source observation IDs, role text, region, firm-size unit, and inclusion flag, and disclose unavailable inputs. Side-by-side operational activity is outside the compensation analysis.</w:t>
      </w:r>
    </w:p>
    <w:p>
      <w:pPr>
        <w:pStyle w:val="Caption"/>
      </w:pPr>
      <w:r>
        <w:t>This guidance supports an internal review workpaper and does not make a legal or tax determination.</w:t>
      </w:r>
    </w:p>
    <w:sectPr w:rsidR="00FC693F" w:rsidRPr="0006063C" w:rsidSect="00034616">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