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Western town hall financials</w:t>
      </w:r>
    </w:p>
    <w:p>
      <w:r>
        <w:rPr>
          <w:color w:val="62728A"/>
          <w:sz w:val="18"/>
        </w:rPr>
        <w:t>Source and calculation note | Prepared for finance review</w:t>
      </w:r>
    </w:p>
    <w:p>
      <w:r>
        <w:t>Scope: Western regional financial section for the 18 November 2026 town hall. Reporting periods are FY2024 Actual, FY2025 Actual and FY2026 Forecast. Public financial exhibits are displayed in $m to two decimals unless stated; opened accounts are whole accounts, FTE is one decimal and percentages are one decimal point.</w:t>
      </w:r>
    </w:p>
    <w:p>
      <w:pPr>
        <w:pStyle w:val="Heading1"/>
      </w:pPr>
      <w:r>
        <w:t>Supplied sources and roles</w:t>
      </w:r>
    </w:p>
    <w:p>
      <w:pPr>
        <w:pStyle w:val="ListBullet"/>
      </w:pPr>
      <w:r>
        <w:t>Western_region_financial_source.xlsx: branch close records, load timestamps, period status, balances, packs, rates, FTE and forecast-period inputs.</w:t>
      </w:r>
    </w:p>
    <w:p>
      <w:pPr>
        <w:pStyle w:val="ListBullet"/>
      </w:pPr>
      <w:r>
        <w:t>Sandpiper_finance_metric_standard.docx: record-key, metric definitions, units, rounding, materiality and actual/forecast treatment.</w:t>
      </w:r>
    </w:p>
    <w:p>
      <w:pPr>
        <w:pStyle w:val="ListBullet"/>
      </w:pPr>
      <w:r>
        <w:t>Western_branch_consolidation_memo.docx: effective date, affected branch identifiers and approved comparability wording.</w:t>
      </w:r>
    </w:p>
    <w:p>
      <w:pPr>
        <w:pStyle w:val="ListBullet"/>
      </w:pPr>
      <w:r>
        <w:t>Western_town_hall_finance_content_map.docx: fixed slide order, titles, exhibit families and allocated metrics.</w:t>
      </w:r>
    </w:p>
    <w:p>
      <w:pPr>
        <w:pStyle w:val="ListBullet"/>
      </w:pPr>
      <w:r>
        <w:t>Sandpiper_investor_day_financial_template.pdf: visual authority for the house-style treatment.</w:t>
      </w:r>
    </w:p>
    <w:p>
      <w:pPr>
        <w:pStyle w:val="Heading1"/>
      </w:pPr>
      <w:r>
        <w:t>Sourced facts and treatments</w:t>
      </w:r>
    </w:p>
    <w:p>
      <w:r>
        <w:t>Source Record ID is the unique key. When repeated, the latest Load Timestamp is retained; earlier load occurrences are excluded. Revenue is service plus interest revenue. Operating expense is payroll, occupancy and other operating expense plus servicing expense. Contribution is revenue less operating expense; margin is contribution divided by revenue. Deposit and lending balances are retained period-end balances. Flow metrics are period aggregates.</w:t>
      </w:r>
    </w:p>
    <w:p>
      <w:r>
        <w:t>Onboarding activity is reported publicly as individual opened accounts: retained packs x 48. The stored per-account rate is rounded to cents before use; the approved rate is $7.35, and servicing expense is individual accounts x $7.35. Active branch count is distinct active branch identifiers; FTE is the retained active-branch FTE sum. Productivity is operating contribution divided by FTE.</w:t>
      </w:r>
    </w:p>
    <w:p>
      <w:pPr>
        <w:pStyle w:val="Heading1"/>
      </w:pPr>
      <w:r>
        <w:t>Forecast, materiality and consolidation</w:t>
      </w:r>
    </w:p>
    <w:p>
      <w:r>
        <w:t>FY2026 is a planning forecast, not a commitment. The outlook bridge starts with FY2025 Actual operating contribution and uses the validated revenue, payroll and occupancy, other operating-expense and servicing-expense changes; signed drivers reconcile to FY2026 Forecast operating contribution. A movement is described as material when either its absolute change is at least $1.00m or its percentage change is at least 5.0%; movement percentages use unrounded totals.</w:t>
      </w:r>
    </w:p>
    <w:p>
      <w:r>
        <w:t>Effective 01 May 2026, W04 (Arroyo Center) was consolidated into W03 (Westgate) for branch-count reporting. Historical periods are not restated. Financial flows and customer balances for both source identifiers remain in regional totals. Branch-count and per-branch comparisons across the effective date are not like-for-like.</w:t>
      </w:r>
    </w:p>
    <w:p>
      <w:pPr>
        <w:pStyle w:val="Heading1"/>
      </w:pPr>
      <w:r>
        <w:t>Assumptions</w:t>
      </w:r>
    </w:p>
    <w:p>
      <w:r>
        <w:t>None. This package uses only the supplied records and stated standard treatments; presentation rounding is applied only after calculation.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8A"/>
        <w:sz w:val="16"/>
      </w:rPr>
      <w:t>Sandpiper Field Services | Western financials | Source and calculation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79B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F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