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SCAR RELEASE REVIEW - VISIBLE MARKUP</w:t>
      </w:r>
    </w:p>
    <w:p>
      <w:pPr>
        <w:spacing w:after="80"/>
      </w:pPr>
      <w:r>
        <w:rPr>
          <w:i/>
          <w:color w:val="595959"/>
          <w:sz w:val="16"/>
        </w:rPr>
        <w:t>MC-SCAR-26-041 | Yewbank Instruments | Review basis: scar_release_source.xlsx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blHeader w:val="true"/>
        </w:trPr>
        <w:tc>
          <w:tcPr>
            <w:tcW w:type="dxa" w:w="194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Control</w:t>
            </w:r>
          </w:p>
        </w:tc>
        <w:tc>
          <w:tcPr>
            <w:tcW w:type="dxa" w:w="9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4"/>
              </w:rPr>
              <w:t>Value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Status</w:t>
            </w:r>
          </w:p>
        </w:tc>
        <w:tc>
          <w:tcPr>
            <w:tcW w:type="dxa" w:w="9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Prepared for release - marked-up review copy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Part</w:t>
            </w:r>
          </w:p>
        </w:tc>
        <w:tc>
          <w:tcPr>
            <w:tcW w:type="dxa" w:w="9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74-1182 Mounting Collar / Rev 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Issue / response route</w:t>
            </w:r>
          </w:p>
        </w:tc>
        <w:tc>
          <w:tcPr>
            <w:tcW w:type="dxa" w:w="9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16-Mar-2026; email to quality@yewbank-instruments.example and CMQ-Log during current process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Reviewer / issuer</w:t>
            </w:r>
          </w:p>
        </w:tc>
        <w:tc>
          <w:tcPr>
            <w:tcW w:type="dxa" w:w="99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4"/>
              </w:rPr>
              <w:t>Kamil Ekstrom, Supplier Quality Lead; reviewed 13-Mar-2026 | Ilse Fitzgerald, Senior Buyer</w:t>
            </w:r>
          </w:p>
        </w:tc>
      </w:tr>
    </w:tbl>
    <w:p>
      <w:pPr>
        <w:spacing w:after="0"/>
      </w:pPr>
    </w:p>
    <w:p>
      <w:pPr>
        <w:spacing w:after="40"/>
      </w:pPr>
      <w:r>
        <w:t>Red strike-through = deleted draft text. Green = replacement that will appear in the released SCAR. Blue reason column records the specific repair and source basis.</w:t>
      </w:r>
    </w:p>
    <w:p>
      <w:pPr>
        <w:pStyle w:val="Heading2"/>
      </w:pPr>
      <w:r>
        <w:t>Line-by-line release repairs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tblHeader w:val="true"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Draft line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Deleted wording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Released replacement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trike w:val="0"/>
                <w:color w:val="FFFFFF"/>
                <w:sz w:val="13"/>
              </w:rPr>
              <w:t>Reason / source basis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Problem statement / presumed cause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Yewbank operator poor torch angle and inadequate cleaning caused weld spatter on the mounting collar.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Observed condition: weld spatter / raised residue on the mounting interface face adjacent to the locating bore. Yewbank shall investigate and provide separately supported occurrence cause and escape/detection cause; no cause is established by this SCAR.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The incident records and photos establish condition, not torch angle or operator conduct. Separating occurrence from escape prevents an unsupported conclusion. Basis: IR-26-047; Drawing Note 6.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Containment / cost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Yewbank shall perform a 100% sort at supplier cost and provide containment by 07-Mar-2026.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By 17-Mar-2026, identify, segregate and control-inspect known and potentially suspect material at Yewbank, Marchbank receiving and line-side WIP; report quantities, lots, locations and controlled disposition. Apply 100% inspection to suspect and future lots until Marchbank accepts corrective action or effectiveness is demonstrated; provide lot-specific inspection record and shipment certification. Cost allocation is expressly reserved pending separate authorized commercial review.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07-Mar-2026 is before the intended issue date. SQR-3 requires containment within 1 business day. Terms §12.4 requires cooperation but does not authorize unilateral supplier-paid sorting or chargeback; containment need is retained and commercial allocation reserved.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Historical statement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Marchbank has accepted this weld-spatter condition for years.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Prior records show detections in two periods; they do not constitute acceptance, waiver, deviation approval, or a change to DWG 74-1182 Rev D Note 6. The drawing requirement remains controlling.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Deletes implied concession that could waive the print. Basis: Drawing Note 6 and objective period/incident records.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Recurrence evidence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A recent incident shows the weld-spatter problem continues.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Comparable period record: 11/1240 (0.9%) across 2 of 18: YW-2510-08, YW-2511-02; later period 47/1060 (4.4%) across 5 of 14: YW-2601-04, YW-2601-11, YW-2602-03, YW-2602-07, YW-2602-12. Nonconforming count rose 36 and rate rose 5.0x; data do not establish cause.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Replaces latest-incident-only characterization with both comparable periods, accurate counts/rates and lot incidence. Basis: objective incident record table.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Response milestones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No separate acknowledgement, cause, action, evidence, or effectiveness commitments.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Supplier acknowledgement due 18-Mar-2026; full 8D response due 30-Mar-2026. Response must state occurrence and escape causes, analysis/evidence, cause-linked actions with owners/dates, implementation evidence, and proposed measurable effectiveness review. Extensions require documented SCAR Administrator approval and CMQ-Log entry.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Adds the SQR-3 timing and the records required to verify a response; dates follow 2 and 10 business-day intervals from issue.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Closure gate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Close when supplier marks corrective action complete.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Supplier submission does not close the SCAR. Marchbank may close only after authorized technical review confirms containment records, analysis, implementation evidence, and effectiveness evidence against an agreed metric/window; status and reviewer/date are recorded.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Current template allows checkbox closure without evidence or reviewer. Repair protects evidence-based closure. Basis: current template content; SQR-3 closure rule.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Transition / exception</w:t>
            </w:r>
          </w:p>
        </w:tc>
        <w:tc>
          <w:tcPr>
            <w:tcW w:type="dxa" w:w="266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FCE4D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/>
                <w:color w:val="9C0006"/>
                <w:sz w:val="13"/>
              </w:rPr>
              <w:t>No response channel, cutover record, or blocked-case handling stated.</w:t>
            </w:r>
          </w:p>
        </w:tc>
        <w:tc>
          <w:tcPr>
            <w:tcW w:type="dxa" w:w="439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E2F0D9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color w:val="006100"/>
                <w:sz w:val="13"/>
              </w:rPr>
              <w:t>Until 30-Apr-2026 submit by email and record in CMQ-Log. If still open at 01-May-2026, preserve CMQ-Log references and migrate/reconcile to SAPortal, the system of record. If portal access, response, evidence or verification is unavailable, retain Open - Blocked, assign escalation owner, use QF-17/email interim record, and reconcile within 2 business days after access restoration.</w:t>
            </w:r>
          </w:p>
        </w:tc>
        <w:tc>
          <w:tcPr>
            <w:tcW w:type="dxa" w:w="288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trike w:val="0"/>
                <w:sz w:val="13"/>
              </w:rPr>
              <w:t>Makes the form usable through PCN-SQ-26-02 cutover and prevents undocumented stall or false closure. Basis: process change and access/outage control.</w:t>
            </w:r>
          </w:p>
        </w:tc>
      </w:tr>
    </w:tbl>
    <w:p>
      <w:pPr>
        <w:spacing w:after="0"/>
      </w:pPr>
    </w:p>
    <w:p>
      <w:pPr>
        <w:pStyle w:val="Heading2"/>
      </w:pPr>
      <w:r>
        <w:t>Unchanged controlled identification and observed scope</w:t>
      </w:r>
    </w:p>
    <w:p>
      <w:pPr>
        <w:spacing w:after="40"/>
      </w:pPr>
      <w:r>
        <w:t>Supplier: Yewbank Instruments. Part: 74-1182 Mounting Collar / Rev D. Known references: Receipts R-88192, R-88317; YW-2601-04, YW-2601-11, YW-2602-03, YW-2602-07, YW-2602-12. The known findings do not define the full suspect population; Yewbank must reconcile traceability, quantities, locations and disposition in its containment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Controlled document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4"/>
      </w:rPr>
      <w:t>MARCHBANK CONSORTIUM  |  SUPPLIER QUALITY &amp; PURCHASING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