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MARCHMONT TECHNICAL SERVICES</w:t>
      </w:r>
    </w:p>
    <w:p>
      <w:pPr>
        <w:jc w:val="center"/>
      </w:pPr>
      <w:r>
        <w:rPr>
          <w:b/>
          <w:sz w:val="28"/>
        </w:rPr>
        <w:t>Media Disposal &amp; Certification Procedure</w:t>
      </w:r>
    </w:p>
    <w:p>
      <w:pPr>
        <w:jc w:val="center"/>
      </w:pPr>
      <w:r>
        <w:rPr>
          <w:i/>
          <w:sz w:val="16"/>
        </w:rPr>
        <w:t>Greyhaven Instruments contract control | Effective 1 June | Jurisdiction: England and Wales, as at 1 June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F4E79"/>
          </w:tcPr>
          <w:p>
            <w:r/>
            <w:r>
              <w:rPr>
                <w:b/>
                <w:color w:val="FFFFFF"/>
                <w:sz w:val="16"/>
              </w:rPr>
              <w:t>Owner</w:t>
            </w:r>
          </w:p>
        </w:tc>
        <w:tc>
          <w:tcPr>
            <w:tcW w:type="dxa" w:w="2664"/>
            <w:vAlign w:val="center"/>
            <w:shd w:fill="1F4E79"/>
          </w:tcPr>
          <w:p>
            <w:r/>
            <w:r>
              <w:rPr>
                <w:b/>
                <w:color w:val="FFFFFF"/>
                <w:sz w:val="16"/>
              </w:rPr>
              <w:t>Operators</w:t>
            </w:r>
          </w:p>
        </w:tc>
        <w:tc>
          <w:tcPr>
            <w:tcW w:type="dxa" w:w="2664"/>
            <w:vAlign w:val="center"/>
            <w:shd w:fill="1F4E79"/>
          </w:tcPr>
          <w:p>
            <w:r/>
            <w:r>
              <w:rPr>
                <w:b/>
                <w:color w:val="FFFFFF"/>
                <w:sz w:val="16"/>
              </w:rPr>
              <w:t>Accountable approver</w:t>
            </w:r>
          </w:p>
        </w:tc>
        <w:tc>
          <w:tcPr>
            <w:tcW w:type="dxa" w:w="2664"/>
            <w:vAlign w:val="center"/>
            <w:shd w:fill="1F4E79"/>
          </w:tcPr>
          <w:p>
            <w:r/>
            <w:r>
              <w:rPr>
                <w:b/>
                <w:color w:val="FFFFFF"/>
                <w:sz w:val="16"/>
              </w:rPr>
              <w:t>Escalation</w:t>
            </w:r>
          </w:p>
        </w:tc>
      </w:tr>
      <w:tr>
        <w:tc>
          <w:tcPr>
            <w:tcW w:type="dxa" w:w="2664"/>
            <w:vAlign w:val="center"/>
          </w:tcPr>
          <w:p>
            <w:r/>
            <w:r>
              <w:rPr>
                <w:b w:val="0"/>
                <w:sz w:val="15"/>
              </w:rPr>
              <w:t>Anders Marchetti, Computer &amp; Information Systems Manager</w:t>
            </w:r>
          </w:p>
        </w:tc>
        <w:tc>
          <w:tcPr>
            <w:tcW w:type="dxa" w:w="2664"/>
            <w:vAlign w:val="center"/>
          </w:tcPr>
          <w:p>
            <w:r/>
            <w:r>
              <w:rPr>
                <w:b w:val="0"/>
                <w:sz w:val="15"/>
              </w:rPr>
              <w:t>Callum Boateng; Ravi Pemberton (service desk)</w:t>
            </w:r>
          </w:p>
        </w:tc>
        <w:tc>
          <w:tcPr>
            <w:tcW w:type="dxa" w:w="2664"/>
            <w:vAlign w:val="center"/>
          </w:tcPr>
          <w:p>
            <w:r/>
            <w:r>
              <w:rPr>
                <w:b w:val="0"/>
                <w:sz w:val="15"/>
              </w:rPr>
              <w:t>Linnea Ingram (with Cecilia Magnusson as approval delegate when recorded)</w:t>
            </w:r>
          </w:p>
        </w:tc>
        <w:tc>
          <w:tcPr>
            <w:tcW w:type="dxa" w:w="2664"/>
            <w:vAlign w:val="center"/>
          </w:tcPr>
          <w:p>
            <w:r/>
            <w:r>
              <w:rPr>
                <w:b w:val="0"/>
                <w:sz w:val="15"/>
              </w:rPr>
              <w:t>Anders Marchetti; incident route for exposure/loss</w:t>
            </w:r>
          </w:p>
        </w:tc>
      </w:tr>
    </w:tbl>
    <w:p>
      <w:pPr>
        <w:pStyle w:val="Heading1"/>
      </w:pPr>
      <w:r>
        <w:t>Purpose and scope</w:t>
      </w:r>
    </w:p>
    <w:p>
      <w:r>
        <w:t>This procedure turns the Greyhaven Instruments security schedule into a repeatable service-desk control. It applies to any storage media that has held client data, whether still usable or not: fixed/internal drives, removable media, embedded drives, and whole devices containing media. Media disposal is the data-bearing-medium decision; it is separate from ordinary equipment retirement, resale, donation, or redeployment. A casing or non-data accessory is out of scope unless it contains or controls in-scope media.</w:t>
      </w:r>
    </w:p>
    <w:p>
      <w:r>
        <w:t>Do not inspect, copy, or disclose client content merely to process disposal. Record only the minimum identifiers and status needed for control. Client ownership or relationship must be confirmed before any irreversible action. If the item, owner, or case cannot be positively associated, stop and quarantine it.</w:t>
      </w:r>
    </w:p>
    <w:p>
      <w:pPr>
        <w:pStyle w:val="Heading1"/>
      </w:pPr>
      <w:r>
        <w:t>Operating states</w:t>
      </w:r>
    </w:p>
    <w:p>
      <w:r>
        <w:t>Transition (days 1–30 from 1 June): Callum and Ravi locate legacy or already-held equipment, create one case per item, label and quarantine it, and obtain owner/hold decisions. No transition shortcut may bypass approval, custody, or certification. Anders owns the discovery log and assigns an approver. Open cases at day 30 carry their owner, status, and evidence gap into steady state; they are not abandoned.</w:t>
      </w:r>
    </w:p>
    <w:p>
      <w:r>
        <w:t>Steady state (after day 30): every new in-scope item follows the sequence below before release, return, reuse, or destruction. The accountable approver authorises the disposition before irreversible destruction or external transfer.</w:t>
      </w:r>
    </w:p>
    <w:p>
      <w:pPr>
        <w:pStyle w:val="Heading1"/>
      </w:pPr>
      <w:r>
        <w:t>Normal sequence — stop at any failed gate</w:t>
      </w:r>
    </w:p>
    <w:p>
      <w:pPr>
        <w:pStyle w:val="Heading2"/>
      </w:pPr>
      <w:r>
        <w:t>1 | Identify &amp; log</w:t>
      </w:r>
    </w:p>
    <w:p>
      <w:r>
        <w:t>Create a unique case record linked to asset tag/other traceable identifier. Record media type (fixed, removable, embedded, whole device), ownership/client association (Greyhaven, Redcliffe Utilities, internal, or confirmed other), custody status, quantity, current location, proposed outcome, and operator/date.</w:t>
      </w:r>
    </w:p>
    <w:p>
      <w:pPr>
        <w:pStyle w:val="Heading2"/>
      </w:pPr>
      <w:r>
        <w:t>2 | Check eligibility</w:t>
      </w:r>
    </w:p>
    <w:p>
      <w:r>
        <w:t>Confirm data owner/client relationship; check legal, contractual, investigation, and incident holds. Inventory all storage components, including hidden, secondary, and removable media where relevant. STOP if identity, ownership, configuration, or hold status is uncertain.</w:t>
      </w:r>
    </w:p>
    <w:p>
      <w:pPr>
        <w:pStyle w:val="Heading2"/>
      </w:pPr>
      <w:r>
        <w:t>3 | Quarantine</w:t>
      </w:r>
    </w:p>
    <w:p>
      <w:r>
        <w:t>Place item in a controlled-access, tamper-evident holding location with case label; restrict removal and substitution. Record each custody event. Package media separately by case/owner; mixed consignments require segregation or item-level traceability.</w:t>
      </w:r>
    </w:p>
    <w:p>
      <w:pPr>
        <w:pStyle w:val="Heading2"/>
      </w:pPr>
      <w:r>
        <w:t>4 | Approve route</w:t>
      </w:r>
    </w:p>
    <w:p>
      <w:r>
        <w:t>Linnea Ingram (or recorded Cecilia Magnusson delegate) approves return, certified destruction, or an approved sanitisation route. Preparation and approval are separate where practicable; if one operator must perform both, Anders records a second-person check before release. No approval or unavailable approver = HOLD and escalate to Anders.</w:t>
      </w:r>
    </w:p>
    <w:p>
      <w:pPr>
        <w:pStyle w:val="Heading2"/>
      </w:pPr>
      <w:r>
        <w:t>5 | Transfer / dispose</w:t>
      </w:r>
    </w:p>
    <w:p>
      <w:r>
        <w:t>For external collection use approved packaging, authorised collector identity, sealed handoff, and receipt confirmation. Record who released, who received, when, quantity, and identifiers. Damaged/unreadable media goes to controlled specialist physical destruction; do not attempt content recovery.</w:t>
      </w:r>
    </w:p>
    <w:p>
      <w:pPr>
        <w:pStyle w:val="Heading2"/>
      </w:pPr>
      <w:r>
        <w:t>6 | Evidence &amp; reconcile</w:t>
      </w:r>
    </w:p>
    <w:p>
      <w:r>
        <w:t>Certified destruction requires a signed certificate or equivalent signed destruction evidence that identifies the case or media identifiers, disposition date, method/outcome, and certifying party. An internal operator note, ticket update, photo, or “reimaged” status is internal evidence only, not a certificate. Reconcile sent count, received/collected count, and certified count plus identifiers to the register before closure.</w:t>
      </w:r>
    </w:p>
    <w:p>
      <w:pPr>
        <w:pStyle w:val="Heading2"/>
      </w:pPr>
      <w:r>
        <w:t>7 | Close / release</w:t>
      </w:r>
    </w:p>
    <w:p>
      <w:r>
        <w:t>Close only when approval, ownership/hold check, complete component inventory, custody trail, disposition outcome, and matching certificate/evidence are present. Until then prohibit release, resale, donation, or redeployment. Archive register, approvals, custody evidence, and certificates in restricted access under the applicable records-retention schedule.</w:t>
      </w:r>
    </w:p>
    <w:p>
      <w:pPr>
        <w:pStyle w:val="Heading1"/>
      </w:pPr>
      <w:r>
        <w:t>Disposition boundary and exceptions</w:t>
      </w:r>
    </w:p>
    <w:p>
      <w:r>
        <w:t>Reimaging, factory reset, formatting, or deleting files is not by itself certified disposal of client-data media. Sanitisation may substitute for physical destruction only where the accountable approver documents that the method is appropriate to the data and contract, the operator records the method and verification result, and signed evidence identifies the media/case and date. Greyhaven’s certified-disposal outcome normally requires certified destruction; do not treat a reimage as enough.</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F4E79"/>
          </w:tcPr>
          <w:p>
            <w:r/>
            <w:r>
              <w:rPr>
                <w:b/>
                <w:color w:val="FFFFFF"/>
                <w:sz w:val="16"/>
              </w:rPr>
              <w:t>Case</w:t>
            </w:r>
          </w:p>
        </w:tc>
        <w:tc>
          <w:tcPr>
            <w:tcW w:type="dxa" w:w="5328"/>
            <w:vAlign w:val="center"/>
            <w:shd w:fill="1F4E79"/>
          </w:tcPr>
          <w:p>
            <w:r/>
            <w:r>
              <w:rPr>
                <w:b/>
                <w:color w:val="FFFFFF"/>
                <w:sz w:val="16"/>
              </w:rPr>
              <w:t>Required branch</w:t>
            </w:r>
          </w:p>
        </w:tc>
      </w:tr>
      <w:tr>
        <w:tc>
          <w:tcPr>
            <w:tcW w:type="dxa" w:w="5328"/>
            <w:vAlign w:val="center"/>
          </w:tcPr>
          <w:p>
            <w:r/>
            <w:r>
              <w:rPr>
                <w:b/>
                <w:sz w:val="15"/>
              </w:rPr>
              <w:t>Already reimaged and reissued laptop</w:t>
            </w:r>
          </w:p>
        </w:tc>
        <w:tc>
          <w:tcPr>
            <w:tcW w:type="dxa" w:w="5328"/>
            <w:vAlign w:val="center"/>
          </w:tcPr>
          <w:p>
            <w:r/>
            <w:r>
              <w:rPr>
                <w:b w:val="0"/>
                <w:sz w:val="15"/>
              </w:rPr>
              <w:t>Open/locate the original case and perform retrospective evidence review. Do not backdate or fabricate a certificate. Escalate residual risk to Anders and the accountable approver; arrange controlled remediation (withdraw, isolate, and approved sanitisation/destruction) or documented risk decision before further release.</w:t>
            </w:r>
          </w:p>
        </w:tc>
      </w:tr>
      <w:tr>
        <w:tc>
          <w:tcPr>
            <w:tcW w:type="dxa" w:w="5328"/>
            <w:vAlign w:val="center"/>
          </w:tcPr>
          <w:p>
            <w:r/>
            <w:r>
              <w:rPr>
                <w:b/>
                <w:sz w:val="15"/>
              </w:rPr>
              <w:t>Loaned test rig with embedded drive</w:t>
            </w:r>
          </w:p>
        </w:tc>
        <w:tc>
          <w:tcPr>
            <w:tcW w:type="dxa" w:w="5328"/>
            <w:vAlign w:val="center"/>
          </w:tcPr>
          <w:p>
            <w:r/>
            <w:r>
              <w:rPr>
                <w:b w:val="0"/>
                <w:sz w:val="15"/>
              </w:rPr>
              <w:t>Confirm Redcliffe Utilities (or other client) ownership and return/destruction authority. Treat the embedded drive and whole rig as one controlled item unless an authorised technician can remove it without compromising custody. If returned, record sealed handoff and client receipt; if destroyed, obtain signed evidence for the embedded medium/rig.</w:t>
            </w:r>
          </w:p>
        </w:tc>
      </w:tr>
      <w:tr>
        <w:tc>
          <w:tcPr>
            <w:tcW w:type="dxa" w:w="5328"/>
            <w:vAlign w:val="center"/>
          </w:tcPr>
          <w:p>
            <w:r/>
            <w:r>
              <w:rPr>
                <w:b/>
                <w:sz w:val="15"/>
              </w:rPr>
              <w:t>Lost rather than retired device</w:t>
            </w:r>
          </w:p>
        </w:tc>
        <w:tc>
          <w:tcPr>
            <w:tcW w:type="dxa" w:w="5328"/>
            <w:vAlign w:val="center"/>
          </w:tcPr>
          <w:p>
            <w:r/>
            <w:r>
              <w:rPr>
                <w:b w:val="0"/>
                <w:sz w:val="15"/>
              </w:rPr>
              <w:t>Classify as an incident/exception immediately; report through the incident route and escalate to Anders and the accountable security/management role. Assess exposure and client notification obligations. A lost device cannot be marked successfully disposed or receive a destruction certificate merely because it is marked retired.</w:t>
            </w:r>
          </w:p>
        </w:tc>
      </w:tr>
      <w:tr>
        <w:tc>
          <w:tcPr>
            <w:tcW w:type="dxa" w:w="5328"/>
            <w:vAlign w:val="center"/>
          </w:tcPr>
          <w:p>
            <w:r/>
            <w:r>
              <w:rPr>
                <w:b/>
                <w:sz w:val="15"/>
              </w:rPr>
              <w:t>Uncertain, failed, inaccessible, or damaged media</w:t>
            </w:r>
          </w:p>
        </w:tc>
        <w:tc>
          <w:tcPr>
            <w:tcW w:type="dxa" w:w="5328"/>
            <w:vAlign w:val="center"/>
          </w:tcPr>
          <w:p>
            <w:r/>
            <w:r>
              <w:rPr>
                <w:b w:val="0"/>
                <w:sz w:val="15"/>
              </w:rPr>
              <w:t>STOP; quarantine and escalate. Do not release or reuse. Use controlled physical destruction/specialist route with evidence; content recovery is not required.</w:t>
            </w:r>
          </w:p>
        </w:tc>
      </w:tr>
      <w:tr>
        <w:tc>
          <w:tcPr>
            <w:tcW w:type="dxa" w:w="5328"/>
            <w:vAlign w:val="center"/>
          </w:tcPr>
          <w:p>
            <w:r/>
            <w:r>
              <w:rPr>
                <w:b/>
                <w:sz w:val="15"/>
              </w:rPr>
              <w:t>Client requests return</w:t>
            </w:r>
          </w:p>
        </w:tc>
        <w:tc>
          <w:tcPr>
            <w:tcW w:type="dxa" w:w="5328"/>
            <w:vAlign w:val="center"/>
          </w:tcPr>
          <w:p>
            <w:r/>
            <w:r>
              <w:rPr>
                <w:b w:val="0"/>
                <w:sz w:val="15"/>
              </w:rPr>
              <w:t>Obtain written owner/client confirmation and approver release, preserve the case and custody trail, use secure packaging/authorised collection, and retain receipt confirmation. Return is controlled disposition, not destruction certification.</w:t>
            </w:r>
          </w:p>
        </w:tc>
      </w:tr>
    </w:tbl>
    <w:p>
      <w:pPr>
        <w:pStyle w:val="Heading1"/>
      </w:pPr>
      <w:r>
        <w:t>Records, incidents and closure test</w:t>
      </w:r>
    </w:p>
    <w:p>
      <w:r>
        <w:t>Register fields are mandatory: unique case ID; asset/media identifier; media type; client/owner; custody status and each handoff; hold result; quantity; approver and date; disposition outcome; certificate/evidence reference and disposition date; sent/received/certified counts; closure reviewer. Restrict access to service-desk, Anders, approvers, and authorised assurance staff; retain for the applicable corporate/contract schedule and longer where a hold applies. Missing, inconsistent, rejected, or late evidence places the case on HOLD—quarantine, notify Anders, correct or re-collect, and never close as successful disposal. Report suspected exposure, missing item, or custody break through the incident route. Verify the physical item against its record at handoff and again before closure.</w:t>
      </w:r>
    </w:p>
    <w:p>
      <w:r>
        <w:t>Day-one closure question: “Can I show who owned it, what storage was in it, who approved the route, every custody handoff, and matching signed evidence for the exact quantity and identifiers?” If any answer is no, HOLD and escalate.</w:t>
      </w:r>
    </w:p>
    <w:p>
      <w:r>
        <w:t>Document control: v1.0 | Prepared by Anders Marchetti | Applies from 1 June | Review after transition and on contract change</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