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8"/>
          <w:sz w:val="32"/>
        </w:rPr>
        <w:t>CONSOLIDATED CASE LINKAGE PACKET</w:t>
      </w:r>
    </w:p>
    <w:p>
      <w:pPr>
        <w:spacing w:after="200"/>
        <w:jc w:val="center"/>
      </w:pPr>
      <w:r>
        <w:rPr>
          <w:i/>
          <w:sz w:val="18"/>
        </w:rPr>
        <w:t>Sablefield County Sheriff’s Office | Halcyon Alarm &amp; Monitoring review</w:t>
      </w:r>
    </w:p>
    <w:p>
      <w:pPr>
        <w:spacing w:after="120"/>
      </w:pPr>
      <w:r>
        <w:rPr>
          <w:b/>
          <w:sz w:val="18"/>
        </w:rPr>
        <w:t xml:space="preserve">Prepared by: </w:t>
      </w:r>
      <w:r>
        <w:rPr>
          <w:sz w:val="18"/>
        </w:rPr>
        <w:t>Sgt. Desmond Iwuchukwu</w:t>
      </w:r>
      <w:r>
        <w:rPr>
          <w:b/>
        </w:rPr>
        <w:t xml:space="preserve">    Intended supervisory recipient: </w:t>
      </w:r>
      <w:r>
        <w:rPr>
          <w:sz w:val="18"/>
        </w:rPr>
        <w:t>Capt. Solange Beaumont</w:t>
      </w:r>
    </w:p>
    <w:p>
      <w:pPr>
        <w:pStyle w:val="Heading1"/>
        <w:spacing w:before="160" w:after="60"/>
      </w:pPr>
      <w:r>
        <w:t>Purpose and concise assessment</w:t>
      </w:r>
    </w:p>
    <w:p>
      <w:pPr>
        <w:spacing w:after="80" w:line="245" w:lineRule="auto"/>
      </w:pPr>
      <w:r>
        <w:rPr>
          <w:i w:val="0"/>
          <w:sz w:val="18"/>
        </w:rPr>
        <w:t>This packet consolidates six separately closed Sablefield County commercial-burglary reports for review as one investigative lead. Source facts show no-forced-entry losses at six premises and one Halcyon operator event, recorded as “USER CANCEL - authorized user requested cancellation,” within each corresponding reported loss window. These recurring, time-proximate pairings support further consolidated review; they do not identify a person, establish motive, prove common authorship, or make a legal determination.</w:t>
      </w:r>
    </w:p>
    <w:p>
      <w:pPr>
        <w:spacing w:after="80" w:line="245" w:lineRule="auto"/>
      </w:pPr>
      <w:r>
        <w:rPr>
          <w:i w:val="0"/>
          <w:sz w:val="18"/>
        </w:rPr>
        <w:t>Halcyon’s presence alone is not sufficient to link cases. The comparison population shows four other Halcyon accounts with user-cancel activity and no reported loss. The indicator presented here is the combination of the source-reported loss, the no-forced-entry observation, and a time-proximate user-cancel record, not vendor use by itself.</w:t>
      </w:r>
    </w:p>
    <w:p>
      <w:pPr>
        <w:pStyle w:val="Heading1"/>
        <w:spacing w:before="160" w:after="60"/>
      </w:pPr>
      <w:r>
        <w:t>Exhibit 1 — Six-case incident / Halcyon event chronology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</w:tblGrid>
      <w:tr>
        <w:tc>
          <w:tcPr>
            <w:tcW w:type="dxa" w:w="86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Incident ID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Premise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Report date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Reported loss window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Reported loss / source observation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Halcyon account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Cancellation Record Key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Operator event timestamp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Operator wording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SC-24-0187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Glassmere Components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14 Mar 2024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13 Mar 2024, 22:30 – 14 Mar 2024, 05:45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forced entry; Eighteen precision carbide cutters were reported missing from a locked tool cage.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HA-18472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HA-18472 | 14 Mar 2024 04:58 | USER CANCEL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14 Mar 2024, 04:58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Linked review event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SC-24-0412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Wrenfield Works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29 May 2024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28 May 2024, 20:15 – 29 May 2024, 06:10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forced entry; Two commercial welding leads and a Lincoln power source were reported missing.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HA-39605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HA-39605 | 29 May 2024 05:24 | USER CANCEL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29 May 2024, 05:24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Linked review event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SC-24-0679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Northvale Fixture &amp; Supply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18 Jul 2024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17 Jul 2024, 21:00 – 18 Jul 2024, 05:30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forced entry; Six boxed brass faucet assemblies were reported missing from receiving.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HA-52281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HA-52281 | 18 Jul 2024 04:46 | USER CANCEL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18 Jul 2024, 04:46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Linked review event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SC-24-0934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Calder Row Commercial Laundry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03 Oct 2024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02 Oct 2024, 23:10 – 03 Oct 2024, 06:00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forced entry; A change-fund envelope containing $640 was reported missing from the office safe.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HA-61743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HA-61743 | 03 Oct 2024 05:11 | USER CANCEL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03 Oct 2024, 05:11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Linked review event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SC-25-0116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Alder &amp; Keene Electrical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22 Jan 2025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21 Jan 2025, 19:45 – 22 Jan 2025, 05:50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forced entry; Four spools of 500-foot copper THHN cable were reported missing.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HA-70826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HA-70826 | 22 Jan 2025 04:37 | USER CANCEL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22 Jan 2025, 04:37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Linked review event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SC-25-0388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Morrowline Restaurant Equipment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09 May 2025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08 May 2025, 22:00 – 09 May 2025, 06:20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forced entry; One countertop commercial mixer and a carton of replacement compressor controls were reported missing.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HA-84390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HA-84390 | 09 May 2025 05:42 | USER CANCEL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09 May 2025, 05:42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Linked review event</w:t>
            </w:r>
          </w:p>
        </w:tc>
      </w:tr>
    </w:tbl>
    <w:p>
      <w:pPr>
        <w:spacing w:after="80" w:line="245" w:lineRule="auto"/>
      </w:pPr>
      <w:r>
        <w:rPr>
          <w:i/>
          <w:sz w:val="18"/>
        </w:rPr>
        <w:t>Traceability: each cancellation shown above is within 90 minutes of its paired reported loss window. Exhibit status denotes an analytical linkage indicator for review, not an attribution.</w:t>
      </w:r>
    </w:p>
    <w:p>
      <w:pPr>
        <w:pStyle w:val="Heading1"/>
        <w:spacing w:before="160" w:after="60"/>
      </w:pPr>
      <w:r>
        <w:t>Exhibit 2 — Comparison population: user cancel with no reported loss</w:t>
      </w:r>
    </w:p>
    <w:p>
      <w:pPr>
        <w:spacing w:after="80" w:line="245" w:lineRule="auto"/>
      </w:pPr>
      <w:r>
        <w:rPr>
          <w:i w:val="0"/>
          <w:sz w:val="18"/>
        </w:rPr>
        <w:t>Distinct qualifying accounts: 4. These records are comparison-only accounts; they are not additional burglary incidents.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Account ID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Account label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Comparison-period label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User-cancel event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Reported loss status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Packet disposition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HA-11608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Bastion Print House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Jan 2024 – 30 Jun 2025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07 Apr 2024, 03:17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Comparison only — not a burglary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HA-27411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Redfern Office Supply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Jul 2024 – 31 Dec 2024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16 Sep 2024, 20:42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Comparison only — not a burglary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HA-65102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Tidepool Cold Storage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Jan 2025 – 31 Mar 2025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02 Feb 2025, 01:08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Comparison only — not a burglary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HA-93017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Latticewell Dental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01 Feb 2025 – 31 May 2025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27 Mar 2025, 22:56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USER CANCEL - authorized user requested cancellation; no reported loss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Comparison only — not a burglary</w:t>
            </w:r>
          </w:p>
        </w:tc>
      </w:tr>
    </w:tbl>
    <w:p>
      <w:pPr>
        <w:pStyle w:val="Heading1"/>
        <w:spacing w:before="160" w:after="60"/>
      </w:pPr>
      <w:r>
        <w:t>Exhibit 3 — Source rate / ratio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604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Population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User-cancel events (denominator)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Reported losses (numerator)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Losses / user cancel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Six linked burglary accounts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1.00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Comparison accounts with user cancels and no reported loss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0.00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Accounts with no user-cancel events in review extract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Not calculable (denominator = 0)</w:t>
            </w:r>
          </w:p>
        </w:tc>
      </w:tr>
    </w:tbl>
    <w:p>
      <w:pPr>
        <w:pStyle w:val="Heading1"/>
        <w:spacing w:before="160" w:after="60"/>
      </w:pPr>
      <w:r>
        <w:t>Methods and limitations</w:t>
      </w:r>
    </w:p>
    <w:p>
      <w:pPr>
        <w:spacing w:after="80" w:line="245" w:lineRule="auto"/>
      </w:pPr>
      <w:r>
        <w:rPr>
          <w:i w:val="0"/>
          <w:sz w:val="18"/>
        </w:rPr>
        <w:t>Cancellation records were de-duplicated using the source-defined Cancellation Record Key: Account ID + Operator Event Timestamp + Event Type. The repeated overlapping presentation of HA-18472 | 14 Mar 2024 04:58 | USER CANCEL is counted once and displayed once. “Linked Case Helper (retired)” was treated as non-authoritative and was not used to establish any incident, account, timing, or comparison relationship; current report identifiers, account fields, timestamps, event wording, and comparison-period records control this packet.</w:t>
      </w:r>
    </w:p>
    <w:p>
      <w:pPr>
        <w:spacing w:after="80" w:line="245" w:lineRule="auto"/>
      </w:pPr>
      <w:r>
        <w:rPr>
          <w:i w:val="0"/>
          <w:sz w:val="18"/>
        </w:rPr>
        <w:t>For the source row with zero user-cancel events (the denominator), the rate is shown as “Not calculable (denominator = 0),” rather than as a numeric rate. A reported loss window is the window recorded in the source narrative; a user-cancel entry records operator-entered wording and time. The available materials do not resolve who made a request or why, and no inference beyond the stated source facts and analytical indicators is offered.</w:t>
      </w:r>
    </w:p>
    <w:p>
      <w:pPr>
        <w:pStyle w:val="Heading1"/>
        <w:spacing w:before="160" w:after="60"/>
      </w:pPr>
      <w:r>
        <w:t>Source materials</w:t>
      </w:r>
    </w:p>
    <w:p>
      <w:pPr>
        <w:spacing w:after="80" w:line="245" w:lineRule="auto"/>
      </w:pPr>
      <w:r>
        <w:rPr>
          <w:i w:val="0"/>
          <w:sz w:val="18"/>
        </w:rPr>
        <w:t>Supplied source: sablefield_halcyon_case_materials.docx (SCM-HAL-Q2-2025), including report narratives, Halcyon cancellation log, account comparison material, rate/ratio rows, and available notes. Source references used in Exhibit 1: incident narratives SC-24-0187 through SC-25-0388; vendor extract HAL-OPS-2025-06.</w:t>
      </w:r>
    </w:p>
    <w:sectPr w:rsidR="00FC693F" w:rsidRPr="0006063C" w:rsidSect="00034616">
      <w:footerReference w:type="default" r:id="rId9"/>
      <w:pgSz w:w="15840" w:h="12240" w:orient="landscape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Internal circulation | Consolidated linkage packet | Prepared by Sgt. Desmond Iwuchukwu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