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93B59"/>
          <w:sz w:val="36"/>
        </w:rPr>
        <w:t>Gildenhall Council Case Review - Current Timed Draft</w:t>
      </w:r>
    </w:p>
    <w:p>
      <w:pPr>
        <w:spacing w:after="160"/>
      </w:pPr>
      <w:r>
        <w:rPr>
          <w:rFonts w:ascii="Arial" w:hAnsi="Arial"/>
          <w:color w:val="65727E"/>
          <w:sz w:val="18"/>
        </w:rPr>
        <w:t>Netherfield Authority | Frontline briefing assembly | Review copy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1512"/>
            <w:shd w:fill="EEF2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Asset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Case review timed assembly</w:t>
            </w:r>
          </w:p>
        </w:tc>
        <w:tc>
          <w:tcPr>
            <w:tcW w:type="dxa" w:w="1512"/>
            <w:shd w:fill="EEF2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Prepared for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Gildenhall Council frontline briefing</w:t>
            </w:r>
          </w:p>
        </w:tc>
      </w:tr>
      <w:tr>
        <w:tc>
          <w:tcPr>
            <w:tcW w:type="dxa" w:w="1512"/>
            <w:shd w:fill="EEF2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Review owner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Leonie Vasquez</w:t>
            </w:r>
          </w:p>
        </w:tc>
        <w:tc>
          <w:tcPr>
            <w:tcW w:type="dxa" w:w="1512"/>
            <w:shd w:fill="EEF2F5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193B59"/>
                <w:sz w:val="15"/>
              </w:rPr>
              <w:t>Authorization</w:t>
            </w:r>
          </w:p>
        </w:tc>
        <w:tc>
          <w:tcPr>
            <w:tcW w:type="dxa" w:w="4752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5"/>
              </w:rPr>
              <w:t>Viktor Schuyler</w:t>
            </w:r>
          </w:p>
        </w:tc>
      </w:tr>
    </w:tbl>
    <w:p/>
    <w:p>
      <w:pPr>
        <w:spacing w:after="120"/>
      </w:pPr>
      <w:r>
        <w:rPr>
          <w:sz w:val="16"/>
        </w:rPr>
        <w:t>Current assembly. The wording in the sequence is the working source wording; the transition column records the present cut.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  <w:gridCol w:w="1800"/>
        <w:gridCol w:w="1800"/>
      </w:tblGrid>
      <w:tr>
        <w:trPr>
          <w:tblHeader w:val="true"/>
        </w:trPr>
        <w:tc>
          <w:tcPr>
            <w:tcW w:type="dxa" w:w="648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Order</w:t>
            </w:r>
          </w:p>
        </w:tc>
        <w:tc>
          <w:tcPr>
            <w:tcW w:type="dxa" w:w="1224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Shot ID</w:t>
            </w:r>
          </w:p>
        </w:tc>
        <w:tc>
          <w:tcPr>
            <w:tcW w:type="dxa" w:w="1152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Case ref</w:t>
            </w:r>
          </w:p>
        </w:tc>
        <w:tc>
          <w:tcPr>
            <w:tcW w:type="dxa" w:w="936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In</w:t>
            </w:r>
          </w:p>
        </w:tc>
        <w:tc>
          <w:tcPr>
            <w:tcW w:type="dxa" w:w="936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Out</w:t>
            </w:r>
          </w:p>
        </w:tc>
        <w:tc>
          <w:tcPr>
            <w:tcW w:type="dxa" w:w="892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Duration</w:t>
              <w:br/>
              <w:t>(s)</w:t>
            </w:r>
          </w:p>
        </w:tc>
        <w:tc>
          <w:tcPr>
            <w:tcW w:type="dxa" w:w="6696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Picture / source wording</w:t>
            </w:r>
          </w:p>
        </w:tc>
        <w:tc>
          <w:tcPr>
            <w:tcW w:type="dxa" w:w="2707"/>
            <w:shd w:fill="193B59"/>
            <w:tcMar>
              <w:top w:w="65" w:type="dxa"/>
              <w:start w:w="70" w:type="dxa"/>
              <w:bottom w:w="65" w:type="dxa"/>
              <w:end w:w="7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/>
                <w:color w:val="FFFFFF"/>
                <w:sz w:val="14"/>
              </w:rPr>
              <w:t>Current transition / edit note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OPN-A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00:00.00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00:10.00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10.00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Gildenhall Council case review. Frontline briefing.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Open on title card; 1.50 s dissolve to OPN-B.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2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OPN-B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00:10.00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00:18.00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Gildenhall Council case review. Frontline briefing.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1.50 s dissolve to CAS-7714.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3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CAS-7714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GH-7714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00:18.00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00:58.00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40.00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Access route request. The access request was logged after a blocked side entrance was reported. The field visit recorded the side entrance clear at close of inspection. Status: Closed - evidence recorded. Event date/time: 2042-08-06 09:15.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Straight cut to BRG-01.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BRG-01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00:58.00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01:02.00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Silent bridge; no new spoken words.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Straight cut to CAS-8842-A.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CAS-8842-A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GH-8842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01:02.00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02:30.00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88.00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Draft label: Resident liaison query. The resident asked for a review of the permit decision. The file contains the submitted permit copy and the response note. Status: Review pending. Event date/time: 07/08/2042 14:30.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Straight cut to CAS-8842-B.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6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CAS-8842-B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GH-8842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02:30.00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02:42.00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12.00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Draft label: Resident liaison query. The resident asked for a review of the permit decision. The file contains the submitted permit copy and the response note. Status: Review pending. Event date/time: 07/08/2042 14:30.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Straight cut to CAS-9061.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7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CAS-9061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GH-9061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02:42.00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03:28.00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46.00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Welfare contact follow-up. A follow-up call was logged after the initial welfare contact. The contact record includes a callback time and a named service inbox. Status: Follow-up recorded. Event date/time: 2042-08-07 10:05.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2.00 s dissolve to CAS-9428.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CAS-9428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GH-9428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03:28.00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04:24.00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56.00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Accommodation inspection. The inspection record notes a missing handrail on the upper landing. A repair request was attached to the record. Status: Repair request attached. Event date/time: 2042-08-08 16:20.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  <w:shd w:fill="F7F9FB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Fade out to END-A.</w:t>
            </w:r>
          </w:p>
        </w:tc>
      </w:tr>
      <w:tr>
        <w:trPr>
          <w:cantSplit/>
        </w:trPr>
        <w:tc>
          <w:tcPr>
            <w:tcW w:type="dxa" w:w="648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9</w:t>
            </w:r>
          </w:p>
        </w:tc>
        <w:tc>
          <w:tcPr>
            <w:tcW w:type="dxa" w:w="1224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END-A</w:t>
            </w:r>
          </w:p>
        </w:tc>
        <w:tc>
          <w:tcPr>
            <w:tcW w:type="dxa" w:w="115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/>
                <w:b w:val="0"/>
                <w:sz w:val="14"/>
              </w:rPr>
              <w:t>-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04:24.00</w:t>
            </w:r>
          </w:p>
        </w:tc>
        <w:tc>
          <w:tcPr>
            <w:tcW w:type="dxa" w:w="93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04:40.00</w:t>
            </w:r>
          </w:p>
        </w:tc>
        <w:tc>
          <w:tcPr>
            <w:tcW w:type="dxa" w:w="892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hAnsi="Arial"/>
                <w:b w:val="0"/>
                <w:sz w:val="14"/>
              </w:rPr>
              <w:t>16.00</w:t>
            </w:r>
          </w:p>
        </w:tc>
        <w:tc>
          <w:tcPr>
            <w:tcW w:type="dxa" w:w="6696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Case review. Source wording retained.</w:t>
            </w:r>
          </w:p>
        </w:tc>
        <w:tc>
          <w:tcPr>
            <w:tcW w:type="dxa" w:w="2707"/>
            <w:tcMar>
              <w:top w:w="60" w:type="dxa"/>
              <w:start w:w="65" w:type="dxa"/>
              <w:bottom w:w="60" w:type="dxa"/>
              <w:end w:w="65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sz w:val="14"/>
              </w:rPr>
              <w:t>Fade out.</w:t>
            </w:r>
          </w:p>
        </w:tc>
      </w:tr>
    </w:tbl>
    <w:p>
      <w:pPr>
        <w:spacing w:before="120" w:after="0"/>
      </w:pPr>
      <w:r>
        <w:rPr>
          <w:rFonts w:ascii="Arial" w:hAnsi="Arial"/>
          <w:b/>
          <w:color w:val="193B59"/>
          <w:sz w:val="16"/>
        </w:rPr>
        <w:t>Runtime of current assembly: 04:40.00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691" w:right="720" w:bottom="691" w:left="720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left"/>
    </w:pPr>
    <w:r>
      <w:rPr>
        <w:rFonts w:ascii="Arial" w:hAnsi="Arial"/>
        <w:color w:val="65727E"/>
        <w:sz w:val="15"/>
      </w:rPr>
      <w:t>Current assembly | Timing convention: mm:ss.ss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Arial" w:hAnsi="Arial"/>
        <w:color w:val="65727E"/>
        <w:sz w:val="15"/>
      </w:rPr>
      <w:t>NETHERFIELD AUTHORITY | INTERNAL PRODUCTION DRAFT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