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Northgale Clinic liaison process</w:t>
      </w:r>
    </w:p>
    <w:p>
      <w:pPr>
        <w:pStyle w:val="Subtitle"/>
      </w:pPr>
      <w:r>
        <w:t>Data handling note — preference evidence and escalation</w:t>
      </w:r>
    </w:p>
    <w:p>
      <w:r>
        <w:t>Use this control when transferring concise liaison notes into a client-facing preference record. It applies to sensitive information and ordinary service preferences alike.</w:t>
      </w:r>
    </w:p>
    <w:p>
      <w:pPr>
        <w:pStyle w:val="Heading1"/>
      </w:pPr>
      <w:r>
        <w:t>Explicit source statement</w:t>
      </w:r>
    </w:p>
    <w:p>
      <w:r>
        <w:t>A source may populate a profile only where it states the relevant preference, restriction, authorised contact, or instruction directly for the same person. Absence is not evidence of no preference.</w:t>
      </w:r>
    </w:p>
    <w:p>
      <w:pPr>
        <w:pStyle w:val="Heading1"/>
      </w:pPr>
      <w:r>
        <w:t>Safe normalization</w:t>
      </w:r>
    </w:p>
    <w:p>
      <w:r>
        <w:t>A safe normalization changes presentation, not meaning: capitalization, punctuation, or a stated synonym to the client’s controlled choice. Record both the source wording and the normalized client wording. Do not convert a one-off instruction into a standing preference.</w:t>
      </w:r>
    </w:p>
    <w:p>
      <w:pPr>
        <w:pStyle w:val="Heading1"/>
      </w:pPr>
      <w:r>
        <w:t>Follow-up item</w:t>
      </w:r>
    </w:p>
    <w:p>
      <w:r>
        <w:t>Where wording is incomplete, ambiguous, or not on the client list, leave the destination field blank and create a follow-up item for confirmation. A blank is not a negative answer and must not be replaced by “N/A,” “none,” or an assumed default.</w:t>
      </w:r>
    </w:p>
    <w:p>
      <w:pPr>
        <w:pStyle w:val="Heading1"/>
      </w:pPr>
      <w:r>
        <w:t>Unsupported assumption</w:t>
      </w:r>
    </w:p>
    <w:p>
      <w:r>
        <w:t>Do not infer allergy severity from an allergen, an escalation contact from a household role, or a standing car from a booked journey. These need explicit evidence. Sensitive or safety-related gaps are referred to Principal Services for confirmation.</w:t>
      </w:r>
    </w:p>
    <w:p>
      <w:pPr>
        <w:pStyle w:val="Heading1"/>
      </w:pPr>
      <w:r>
        <w:t>Provenance</w:t>
      </w:r>
    </w:p>
    <w:p>
      <w:r>
        <w:t>For every populated field retain the master row or original note, source wording, any safe normalization, date checked, and reviewer. Do not overwrite the source wording with the client-facing wording.</w:t>
      </w:r>
    </w:p>
    <w:p>
      <w:pPr>
        <w:pStyle w:val="Caption"/>
      </w:pPr>
      <w:r>
        <w:t>Prepared for liaison operations | Version 2.1 | 07 September 2026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