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4268"/>
          <w:sz w:val="30"/>
        </w:rPr>
        <w:t>WESTMERE MANUFACTURING</w:t>
      </w:r>
    </w:p>
    <w:p>
      <w:pPr>
        <w:spacing w:after="80"/>
      </w:pPr>
      <w:r>
        <w:rPr>
          <w:b/>
          <w:color w:val="596674"/>
          <w:sz w:val="19"/>
        </w:rPr>
        <w:t>Occupational health decision memo  |  15 February 2025</w:t>
      </w:r>
    </w:p>
    <w:tbl>
      <w:tblPr>
        <w:tblW w:type="auto" w:w="0"/>
        <w:jc w:val="left"/>
        <w:tblLayout w:type="fixed"/>
        <w:tblLook w:firstColumn="1" w:firstRow="1" w:lastColumn="0" w:lastRow="0" w:noHBand="0" w:noVBand="1" w:val="04A0"/>
        <w:tblBorders>
          <w:top w:val="single" w:sz="4" w:color="B7C4D6"/>
          <w:left w:val="single" w:sz="4" w:color="B7C4D6"/>
          <w:bottom w:val="single" w:sz="4" w:color="B7C4D6"/>
          <w:right w:val="single" w:sz="4" w:color="B7C4D6"/>
          <w:insideH w:val="single" w:sz="4" w:color="B7C4D6"/>
          <w:insideV w:val="single" w:sz="4" w:color="B7C4D6"/>
        </w:tblBorders>
      </w:tblPr>
      <w:tblGrid>
        <w:gridCol w:w="1512"/>
        <w:gridCol w:w="8640"/>
      </w:tblGrid>
      <w:tr>
        <w:tc>
          <w:tcPr>
            <w:tcW w:type="dxa" w:w="5328"/>
            <w:vAlign w:val="center"/>
            <w:shd w:fill="EAF0F6"/>
          </w:tcPr>
          <w:p>
            <w:pPr>
              <w:spacing w:after="0"/>
            </w:pPr>
            <w:r/>
            <w:r>
              <w:rPr>
                <w:b/>
                <w:color w:val="1F4268"/>
                <w:sz w:val="16"/>
              </w:rPr>
              <w:t>To</w:t>
            </w:r>
          </w:p>
        </w:tc>
        <w:tc>
          <w:tcPr>
            <w:tcW w:type="dxa" w:w="5328"/>
            <w:vAlign w:val="center"/>
          </w:tcPr>
          <w:p>
            <w:pPr>
              <w:spacing w:after="0"/>
            </w:pPr>
            <w:r/>
            <w:r>
              <w:rPr>
                <w:b w:val="0"/>
                <w:sz w:val="16"/>
              </w:rPr>
              <w:t>Joaquin Kilgore, Procurement</w:t>
            </w:r>
          </w:p>
        </w:tc>
      </w:tr>
      <w:tr>
        <w:tc>
          <w:tcPr>
            <w:tcW w:type="dxa" w:w="5328"/>
            <w:vAlign w:val="center"/>
            <w:shd w:fill="EAF0F6"/>
          </w:tcPr>
          <w:p>
            <w:pPr>
              <w:spacing w:after="0"/>
            </w:pPr>
            <w:r/>
            <w:r>
              <w:rPr>
                <w:b/>
                <w:color w:val="1F4268"/>
                <w:sz w:val="16"/>
              </w:rPr>
              <w:t>From</w:t>
            </w:r>
          </w:p>
        </w:tc>
        <w:tc>
          <w:tcPr>
            <w:tcW w:type="dxa" w:w="5328"/>
            <w:vAlign w:val="center"/>
          </w:tcPr>
          <w:p>
            <w:pPr>
              <w:spacing w:after="0"/>
            </w:pPr>
            <w:r/>
            <w:r>
              <w:rPr>
                <w:b w:val="0"/>
                <w:sz w:val="16"/>
              </w:rPr>
              <w:t>Isabel Vanterpool, Clinic Lead (on behalf of the occupational health team)</w:t>
            </w:r>
          </w:p>
        </w:tc>
      </w:tr>
      <w:tr>
        <w:tc>
          <w:tcPr>
            <w:tcW w:type="dxa" w:w="5328"/>
            <w:vAlign w:val="center"/>
            <w:shd w:fill="EAF0F6"/>
          </w:tcPr>
          <w:p>
            <w:pPr>
              <w:spacing w:after="0"/>
            </w:pPr>
            <w:r/>
            <w:r>
              <w:rPr>
                <w:b/>
                <w:color w:val="1F4268"/>
                <w:sz w:val="16"/>
              </w:rPr>
              <w:t>Subject</w:t>
            </w:r>
          </w:p>
        </w:tc>
        <w:tc>
          <w:tcPr>
            <w:tcW w:type="dxa" w:w="5328"/>
            <w:vAlign w:val="center"/>
          </w:tcPr>
          <w:p>
            <w:pPr>
              <w:spacing w:after="0"/>
            </w:pPr>
            <w:r/>
            <w:r>
              <w:rPr>
                <w:b w:val="0"/>
                <w:sz w:val="16"/>
              </w:rPr>
              <w:t>Replacement occupational audiometry arrangement (expires 31 March 2025)</w:t>
            </w:r>
          </w:p>
        </w:tc>
      </w:tr>
      <w:tr>
        <w:tc>
          <w:tcPr>
            <w:tcW w:type="dxa" w:w="5328"/>
            <w:vAlign w:val="center"/>
            <w:shd w:fill="EAF0F6"/>
          </w:tcPr>
          <w:p>
            <w:pPr>
              <w:spacing w:after="0"/>
            </w:pPr>
            <w:r/>
            <w:r>
              <w:rPr>
                <w:b/>
                <w:color w:val="1F4268"/>
                <w:sz w:val="16"/>
              </w:rPr>
              <w:t>Procurement status</w:t>
            </w:r>
          </w:p>
        </w:tc>
        <w:tc>
          <w:tcPr>
            <w:tcW w:type="dxa" w:w="5328"/>
            <w:vAlign w:val="center"/>
          </w:tcPr>
          <w:p>
            <w:pPr>
              <w:spacing w:after="0"/>
            </w:pPr>
            <w:r/>
            <w:r>
              <w:rPr>
                <w:b w:val="0"/>
                <w:sz w:val="16"/>
              </w:rPr>
              <w:t>Clinical review pending  →  Occupational health recommendation issued</w:t>
            </w:r>
          </w:p>
        </w:tc>
      </w:tr>
    </w:tbl>
    <w:p>
      <w:pPr>
        <w:spacing w:before="80" w:after="60"/>
      </w:pPr>
      <w:r>
        <w:rPr>
          <w:b/>
          <w:color w:val="1F4268"/>
          <w:sz w:val="22"/>
        </w:rPr>
        <w:t xml:space="preserve">Decision — appoint Marlowe Trading Company. </w:t>
      </w:r>
      <w:r>
        <w:t>Its invoice is higher, but production-time value makes its loaded cost lower, and incumbent familiarity reduces implementation risk. The fixed-booth provider is cheaper on invoice and offers quicker individual retests; those benefits do not outweigh the operational burden under the stated weights.</w:t>
      </w:r>
    </w:p>
    <w:p>
      <w:pPr>
        <w:spacing w:after="60"/>
      </w:pPr>
      <w:r>
        <w:rPr>
          <w:b/>
        </w:rPr>
        <w:t xml:space="preserve">Planning basis and auditable costs. </w:t>
      </w:r>
      <w:r>
        <w:t>480 initial tests × 6% = 28.8, rounded up to 29 retests; total = 509 completed test events. “Cost per test” below means vendor invoice cost per completed event (including retests); loaded cost separately adds paid production time at £38 per employee-hour.</w:t>
      </w:r>
    </w:p>
    <w:tbl>
      <w:tblPr>
        <w:tblW w:type="auto" w:w="0"/>
        <w:jc w:val="center"/>
        <w:tblLayout w:type="fixed"/>
        <w:tblLook w:firstColumn="1" w:firstRow="1" w:lastColumn="0" w:lastRow="0" w:noHBand="0" w:noVBand="1" w:val="04A0"/>
        <w:tblBorders>
          <w:top w:val="single" w:sz="4" w:color="B7C4D6"/>
          <w:left w:val="single" w:sz="4" w:color="B7C4D6"/>
          <w:bottom w:val="single" w:sz="4" w:color="B7C4D6"/>
          <w:right w:val="single" w:sz="4" w:color="B7C4D6"/>
          <w:insideH w:val="single" w:sz="4" w:color="B7C4D6"/>
          <w:insideV w:val="single" w:sz="4" w:color="B7C4D6"/>
        </w:tblBorders>
      </w:tblPr>
      <w:tblGrid>
        <w:gridCol w:w="2232"/>
        <w:gridCol w:w="1944"/>
        <w:gridCol w:w="1800"/>
        <w:gridCol w:w="1944"/>
        <w:gridCol w:w="1944"/>
      </w:tblGrid>
      <w:tr>
        <w:tc>
          <w:tcPr>
            <w:tcW w:type="dxa" w:w="2131"/>
            <w:vAlign w:val="center"/>
            <w:shd w:fill="1F4268"/>
          </w:tcPr>
          <w:p>
            <w:pPr>
              <w:spacing w:after="0"/>
            </w:pPr>
            <w:r/>
            <w:r>
              <w:rPr>
                <w:b/>
                <w:color w:val="FFFFFF"/>
                <w:sz w:val="15"/>
              </w:rPr>
              <w:t>Provider</w:t>
            </w:r>
          </w:p>
        </w:tc>
        <w:tc>
          <w:tcPr>
            <w:tcW w:type="dxa" w:w="2131"/>
            <w:vAlign w:val="center"/>
            <w:shd w:fill="1F4268"/>
          </w:tcPr>
          <w:p>
            <w:pPr>
              <w:spacing w:after="0"/>
            </w:pPr>
            <w:r/>
            <w:r>
              <w:rPr>
                <w:b/>
                <w:color w:val="FFFFFF"/>
                <w:sz w:val="15"/>
              </w:rPr>
              <w:t>Vendor invoice</w:t>
              <w:br/>
              <w:t>(£; £/event)</w:t>
            </w:r>
          </w:p>
        </w:tc>
        <w:tc>
          <w:tcPr>
            <w:tcW w:type="dxa" w:w="2131"/>
            <w:vAlign w:val="center"/>
            <w:shd w:fill="1F4268"/>
          </w:tcPr>
          <w:p>
            <w:pPr>
              <w:spacing w:after="0"/>
            </w:pPr>
            <w:r/>
            <w:r>
              <w:rPr>
                <w:b/>
                <w:color w:val="FFFFFF"/>
                <w:sz w:val="15"/>
              </w:rPr>
              <w:t>Absence</w:t>
              <w:br/>
              <w:t>(hours)</w:t>
            </w:r>
          </w:p>
        </w:tc>
        <w:tc>
          <w:tcPr>
            <w:tcW w:type="dxa" w:w="2131"/>
            <w:vAlign w:val="center"/>
            <w:shd w:fill="1F4268"/>
          </w:tcPr>
          <w:p>
            <w:pPr>
              <w:spacing w:after="0"/>
            </w:pPr>
            <w:r/>
            <w:r>
              <w:rPr>
                <w:b/>
                <w:color w:val="FFFFFF"/>
                <w:sz w:val="15"/>
              </w:rPr>
              <w:t>Production value</w:t>
              <w:br/>
              <w:t>(£)</w:t>
            </w:r>
          </w:p>
        </w:tc>
        <w:tc>
          <w:tcPr>
            <w:tcW w:type="dxa" w:w="2131"/>
            <w:vAlign w:val="center"/>
            <w:shd w:fill="1F4268"/>
          </w:tcPr>
          <w:p>
            <w:pPr>
              <w:spacing w:after="0"/>
            </w:pPr>
            <w:r/>
            <w:r>
              <w:rPr>
                <w:b/>
                <w:color w:val="FFFFFF"/>
                <w:sz w:val="15"/>
              </w:rPr>
              <w:t>Loaded cost</w:t>
              <w:br/>
              <w:t>(£; £/event)</w:t>
            </w:r>
          </w:p>
        </w:tc>
      </w:tr>
      <w:tr>
        <w:tc>
          <w:tcPr>
            <w:tcW w:type="dxa" w:w="2232"/>
            <w:vAlign w:val="center"/>
          </w:tcPr>
          <w:p>
            <w:pPr>
              <w:spacing w:after="0"/>
            </w:pPr>
            <w:r/>
            <w:r>
              <w:rPr>
                <w:b/>
                <w:sz w:val="14"/>
              </w:rPr>
              <w:t>Marlowe mobile</w:t>
            </w:r>
          </w:p>
        </w:tc>
        <w:tc>
          <w:tcPr>
            <w:tcW w:type="dxa" w:w="1944"/>
            <w:vAlign w:val="center"/>
          </w:tcPr>
          <w:p>
            <w:pPr>
              <w:spacing w:after="0"/>
            </w:pPr>
            <w:r/>
            <w:r>
              <w:rPr>
                <w:b w:val="0"/>
                <w:sz w:val="14"/>
              </w:rPr>
              <w:t>4,800 + 509×78 = 44,502</w:t>
              <w:br/>
              <w:t>£87.44/event</w:t>
            </w:r>
          </w:p>
        </w:tc>
        <w:tc>
          <w:tcPr>
            <w:tcW w:type="dxa" w:w="1800"/>
            <w:vAlign w:val="center"/>
          </w:tcPr>
          <w:p>
            <w:pPr>
              <w:spacing w:after="0"/>
            </w:pPr>
            <w:r/>
            <w:r>
              <w:rPr>
                <w:b w:val="0"/>
                <w:sz w:val="14"/>
              </w:rPr>
              <w:t>509×0.5 = 254.5</w:t>
            </w:r>
          </w:p>
        </w:tc>
        <w:tc>
          <w:tcPr>
            <w:tcW w:type="dxa" w:w="1944"/>
            <w:vAlign w:val="center"/>
          </w:tcPr>
          <w:p>
            <w:pPr>
              <w:spacing w:after="0"/>
            </w:pPr>
            <w:r/>
            <w:r>
              <w:rPr>
                <w:b w:val="0"/>
                <w:sz w:val="14"/>
              </w:rPr>
              <w:t>254.5×38 = 9,671</w:t>
            </w:r>
          </w:p>
        </w:tc>
        <w:tc>
          <w:tcPr>
            <w:tcW w:type="dxa" w:w="1944"/>
            <w:vAlign w:val="center"/>
          </w:tcPr>
          <w:p>
            <w:pPr>
              <w:spacing w:after="0"/>
            </w:pPr>
            <w:r/>
            <w:r>
              <w:rPr>
                <w:b w:val="0"/>
                <w:sz w:val="14"/>
              </w:rPr>
              <w:t>54,173</w:t>
              <w:br/>
              <w:t>£106.43/event</w:t>
            </w:r>
          </w:p>
        </w:tc>
      </w:tr>
      <w:tr>
        <w:tc>
          <w:tcPr>
            <w:tcW w:type="dxa" w:w="2232"/>
            <w:vAlign w:val="center"/>
          </w:tcPr>
          <w:p>
            <w:pPr>
              <w:spacing w:after="0"/>
            </w:pPr>
            <w:r/>
            <w:r>
              <w:rPr>
                <w:b/>
                <w:sz w:val="14"/>
              </w:rPr>
              <w:t>Fixed booth</w:t>
            </w:r>
          </w:p>
        </w:tc>
        <w:tc>
          <w:tcPr>
            <w:tcW w:type="dxa" w:w="1944"/>
            <w:vAlign w:val="center"/>
          </w:tcPr>
          <w:p>
            <w:pPr>
              <w:spacing w:after="0"/>
            </w:pPr>
            <w:r/>
            <w:r>
              <w:rPr>
                <w:b w:val="0"/>
                <w:sz w:val="14"/>
              </w:rPr>
              <w:t>509×52 = 26,468</w:t>
              <w:br/>
              <w:t>£52.00/event</w:t>
            </w:r>
          </w:p>
        </w:tc>
        <w:tc>
          <w:tcPr>
            <w:tcW w:type="dxa" w:w="1800"/>
            <w:vAlign w:val="center"/>
          </w:tcPr>
          <w:p>
            <w:pPr>
              <w:spacing w:after="0"/>
            </w:pPr>
            <w:r/>
            <w:r>
              <w:rPr>
                <w:b w:val="0"/>
                <w:sz w:val="14"/>
              </w:rPr>
              <w:t>509×2.0 = 1,018</w:t>
            </w:r>
          </w:p>
        </w:tc>
        <w:tc>
          <w:tcPr>
            <w:tcW w:type="dxa" w:w="1944"/>
            <w:vAlign w:val="center"/>
          </w:tcPr>
          <w:p>
            <w:pPr>
              <w:spacing w:after="0"/>
            </w:pPr>
            <w:r/>
            <w:r>
              <w:rPr>
                <w:b w:val="0"/>
                <w:sz w:val="14"/>
              </w:rPr>
              <w:t>1,018×38 = 38,684</w:t>
            </w:r>
          </w:p>
        </w:tc>
        <w:tc>
          <w:tcPr>
            <w:tcW w:type="dxa" w:w="1944"/>
            <w:vAlign w:val="center"/>
          </w:tcPr>
          <w:p>
            <w:pPr>
              <w:spacing w:after="0"/>
            </w:pPr>
            <w:r/>
            <w:r>
              <w:rPr>
                <w:b w:val="0"/>
                <w:sz w:val="14"/>
              </w:rPr>
              <w:t>65,152</w:t>
              <w:br/>
              <w:t>£128.00/event</w:t>
            </w:r>
          </w:p>
        </w:tc>
      </w:tr>
    </w:tbl>
    <w:p>
      <w:pPr>
        <w:spacing w:before="60" w:after="60"/>
      </w:pPr>
      <w:r>
        <w:rPr>
          <w:b/>
        </w:rPr>
        <w:t xml:space="preserve">Interpretation. </w:t>
      </w:r>
      <w:r>
        <w:t>The fixed provider saves £18,034 on vendor invoices, while Marlowe saves £10,979 on loaded cost (£65,152 − £54,173) and avoids 763.5 employee-hours of absence. Both fit the campaign assumptions: Marlowe needs 10 service days (10×52 = 520 capacity) on its 10-business-day cycle; fixed booth needs 29 working days (29×18 = 522, within 30 days and 540 maximum campaign capacity). The fixed option has less scheduling margin and a much larger release burden, although its retests are available within three business days versus Marlowe’s next service day.</w:t>
      </w:r>
    </w:p>
    <w:p>
      <w:pPr>
        <w:spacing w:before="40" w:after="40"/>
      </w:pPr>
      <w:r>
        <w:rPr>
          <w:b/>
          <w:color w:val="1F4268"/>
          <w:sz w:val="18"/>
        </w:rPr>
        <w:t>100-point decision score (0–10 scale; higher is better; weighted points = score ÷ 10 × weight)</w:t>
      </w:r>
    </w:p>
    <w:tbl>
      <w:tblPr>
        <w:tblW w:type="auto" w:w="0"/>
        <w:jc w:val="center"/>
        <w:tblLayout w:type="fixed"/>
        <w:tblLook w:firstColumn="1" w:firstRow="1" w:lastColumn="0" w:lastRow="0" w:noHBand="0" w:noVBand="1" w:val="04A0"/>
        <w:tblBorders>
          <w:top w:val="single" w:sz="4" w:color="B7C4D6"/>
          <w:left w:val="single" w:sz="4" w:color="B7C4D6"/>
          <w:bottom w:val="single" w:sz="4" w:color="B7C4D6"/>
          <w:right w:val="single" w:sz="4" w:color="B7C4D6"/>
          <w:insideH w:val="single" w:sz="4" w:color="B7C4D6"/>
          <w:insideV w:val="single" w:sz="4" w:color="B7C4D6"/>
        </w:tblBorders>
      </w:tblPr>
      <w:tblGrid>
        <w:gridCol w:w="3096"/>
        <w:gridCol w:w="893"/>
        <w:gridCol w:w="1843"/>
        <w:gridCol w:w="1843"/>
        <w:gridCol w:w="1843"/>
      </w:tblGrid>
      <w:tr>
        <w:tc>
          <w:tcPr>
            <w:tcW w:type="dxa" w:w="2131"/>
            <w:vAlign w:val="center"/>
            <w:shd w:fill="1F4268"/>
          </w:tcPr>
          <w:p>
            <w:pPr>
              <w:spacing w:after="0"/>
            </w:pPr>
            <w:r/>
            <w:r>
              <w:rPr>
                <w:b/>
                <w:color w:val="FFFFFF"/>
                <w:sz w:val="14"/>
              </w:rPr>
              <w:t>Criterion (weight)</w:t>
            </w:r>
          </w:p>
        </w:tc>
        <w:tc>
          <w:tcPr>
            <w:tcW w:type="dxa" w:w="2131"/>
            <w:vAlign w:val="center"/>
            <w:shd w:fill="1F4268"/>
          </w:tcPr>
          <w:p>
            <w:pPr>
              <w:spacing w:after="0"/>
            </w:pPr>
            <w:r/>
            <w:r>
              <w:rPr>
                <w:b/>
                <w:color w:val="FFFFFF"/>
                <w:sz w:val="14"/>
              </w:rPr>
              <w:t>Marlowe</w:t>
              <w:br/>
              <w:t>score</w:t>
            </w:r>
          </w:p>
        </w:tc>
        <w:tc>
          <w:tcPr>
            <w:tcW w:type="dxa" w:w="2131"/>
            <w:vAlign w:val="center"/>
            <w:shd w:fill="1F4268"/>
          </w:tcPr>
          <w:p>
            <w:pPr>
              <w:spacing w:after="0"/>
            </w:pPr>
            <w:r/>
            <w:r>
              <w:rPr>
                <w:b/>
                <w:color w:val="FFFFFF"/>
                <w:sz w:val="14"/>
              </w:rPr>
              <w:t>Marlowe</w:t>
              <w:br/>
              <w:t>points</w:t>
            </w:r>
          </w:p>
        </w:tc>
        <w:tc>
          <w:tcPr>
            <w:tcW w:type="dxa" w:w="2131"/>
            <w:vAlign w:val="center"/>
            <w:shd w:fill="1F4268"/>
          </w:tcPr>
          <w:p>
            <w:pPr>
              <w:spacing w:after="0"/>
            </w:pPr>
            <w:r/>
            <w:r>
              <w:rPr>
                <w:b/>
                <w:color w:val="FFFFFF"/>
                <w:sz w:val="14"/>
              </w:rPr>
              <w:t>Fixed booth</w:t>
              <w:br/>
              <w:t>score</w:t>
            </w:r>
          </w:p>
        </w:tc>
        <w:tc>
          <w:tcPr>
            <w:tcW w:type="dxa" w:w="2131"/>
            <w:vAlign w:val="center"/>
            <w:shd w:fill="1F4268"/>
          </w:tcPr>
          <w:p>
            <w:pPr>
              <w:spacing w:after="0"/>
            </w:pPr>
            <w:r/>
            <w:r>
              <w:rPr>
                <w:b/>
                <w:color w:val="FFFFFF"/>
                <w:sz w:val="14"/>
              </w:rPr>
              <w:t>Fixed booth</w:t>
              <w:br/>
              <w:t>points</w:t>
            </w:r>
          </w:p>
        </w:tc>
      </w:tr>
      <w:tr>
        <w:tc>
          <w:tcPr>
            <w:tcW w:type="dxa" w:w="3096"/>
            <w:vAlign w:val="center"/>
          </w:tcPr>
          <w:p>
            <w:pPr>
              <w:spacing w:after="0"/>
            </w:pPr>
            <w:r/>
            <w:r>
              <w:rPr>
                <w:b w:val="0"/>
                <w:sz w:val="14"/>
              </w:rPr>
              <w:t>Direct price (25)</w:t>
            </w:r>
          </w:p>
        </w:tc>
        <w:tc>
          <w:tcPr>
            <w:tcW w:type="dxa" w:w="893"/>
            <w:vAlign w:val="center"/>
          </w:tcPr>
          <w:p>
            <w:pPr>
              <w:spacing w:after="0"/>
            </w:pPr>
            <w:r/>
            <w:r>
              <w:rPr>
                <w:b w:val="0"/>
                <w:sz w:val="14"/>
              </w:rPr>
              <w:t>4</w:t>
            </w:r>
          </w:p>
        </w:tc>
        <w:tc>
          <w:tcPr>
            <w:tcW w:type="dxa" w:w="1843"/>
            <w:vAlign w:val="center"/>
          </w:tcPr>
          <w:p>
            <w:pPr>
              <w:spacing w:after="0"/>
            </w:pPr>
            <w:r/>
            <w:r>
              <w:rPr>
                <w:b w:val="0"/>
                <w:sz w:val="14"/>
              </w:rPr>
              <w:t>10.0</w:t>
            </w:r>
          </w:p>
        </w:tc>
        <w:tc>
          <w:tcPr>
            <w:tcW w:type="dxa" w:w="1843"/>
            <w:vAlign w:val="center"/>
          </w:tcPr>
          <w:p>
            <w:pPr>
              <w:spacing w:after="0"/>
            </w:pPr>
            <w:r/>
            <w:r>
              <w:rPr>
                <w:b w:val="0"/>
                <w:sz w:val="14"/>
              </w:rPr>
              <w:t>10</w:t>
            </w:r>
          </w:p>
        </w:tc>
        <w:tc>
          <w:tcPr>
            <w:tcW w:type="dxa" w:w="1843"/>
            <w:vAlign w:val="center"/>
          </w:tcPr>
          <w:p>
            <w:pPr>
              <w:spacing w:after="0"/>
            </w:pPr>
            <w:r/>
            <w:r>
              <w:rPr>
                <w:b w:val="0"/>
                <w:sz w:val="14"/>
              </w:rPr>
              <w:t>25.0</w:t>
            </w:r>
          </w:p>
        </w:tc>
      </w:tr>
      <w:tr>
        <w:tc>
          <w:tcPr>
            <w:tcW w:type="dxa" w:w="3096"/>
            <w:vAlign w:val="center"/>
          </w:tcPr>
          <w:p>
            <w:pPr>
              <w:spacing w:after="0"/>
            </w:pPr>
            <w:r/>
            <w:r>
              <w:rPr>
                <w:b w:val="0"/>
                <w:sz w:val="14"/>
              </w:rPr>
              <w:t>Production-time impact (35)</w:t>
            </w:r>
          </w:p>
        </w:tc>
        <w:tc>
          <w:tcPr>
            <w:tcW w:type="dxa" w:w="893"/>
            <w:vAlign w:val="center"/>
          </w:tcPr>
          <w:p>
            <w:pPr>
              <w:spacing w:after="0"/>
            </w:pPr>
            <w:r/>
            <w:r>
              <w:rPr>
                <w:b w:val="0"/>
                <w:sz w:val="14"/>
              </w:rPr>
              <w:t>10</w:t>
            </w:r>
          </w:p>
        </w:tc>
        <w:tc>
          <w:tcPr>
            <w:tcW w:type="dxa" w:w="1843"/>
            <w:vAlign w:val="center"/>
          </w:tcPr>
          <w:p>
            <w:pPr>
              <w:spacing w:after="0"/>
            </w:pPr>
            <w:r/>
            <w:r>
              <w:rPr>
                <w:b w:val="0"/>
                <w:sz w:val="14"/>
              </w:rPr>
              <w:t>35.0</w:t>
            </w:r>
          </w:p>
        </w:tc>
        <w:tc>
          <w:tcPr>
            <w:tcW w:type="dxa" w:w="1843"/>
            <w:vAlign w:val="center"/>
          </w:tcPr>
          <w:p>
            <w:pPr>
              <w:spacing w:after="0"/>
            </w:pPr>
            <w:r/>
            <w:r>
              <w:rPr>
                <w:b w:val="0"/>
                <w:sz w:val="14"/>
              </w:rPr>
              <w:t>3</w:t>
            </w:r>
          </w:p>
        </w:tc>
        <w:tc>
          <w:tcPr>
            <w:tcW w:type="dxa" w:w="1843"/>
            <w:vAlign w:val="center"/>
          </w:tcPr>
          <w:p>
            <w:pPr>
              <w:spacing w:after="0"/>
            </w:pPr>
            <w:r/>
            <w:r>
              <w:rPr>
                <w:b w:val="0"/>
                <w:sz w:val="14"/>
              </w:rPr>
              <w:t>10.5</w:t>
            </w:r>
          </w:p>
        </w:tc>
      </w:tr>
      <w:tr>
        <w:tc>
          <w:tcPr>
            <w:tcW w:type="dxa" w:w="3096"/>
            <w:vAlign w:val="center"/>
          </w:tcPr>
          <w:p>
            <w:pPr>
              <w:spacing w:after="0"/>
            </w:pPr>
            <w:r/>
            <w:r>
              <w:rPr>
                <w:b w:val="0"/>
                <w:sz w:val="14"/>
              </w:rPr>
              <w:t>Retest service (20)</w:t>
            </w:r>
          </w:p>
        </w:tc>
        <w:tc>
          <w:tcPr>
            <w:tcW w:type="dxa" w:w="893"/>
            <w:vAlign w:val="center"/>
          </w:tcPr>
          <w:p>
            <w:pPr>
              <w:spacing w:after="0"/>
            </w:pPr>
            <w:r/>
            <w:r>
              <w:rPr>
                <w:b w:val="0"/>
                <w:sz w:val="14"/>
              </w:rPr>
              <w:t>5</w:t>
            </w:r>
          </w:p>
        </w:tc>
        <w:tc>
          <w:tcPr>
            <w:tcW w:type="dxa" w:w="1843"/>
            <w:vAlign w:val="center"/>
          </w:tcPr>
          <w:p>
            <w:pPr>
              <w:spacing w:after="0"/>
            </w:pPr>
            <w:r/>
            <w:r>
              <w:rPr>
                <w:b w:val="0"/>
                <w:sz w:val="14"/>
              </w:rPr>
              <w:t>10.0</w:t>
            </w:r>
          </w:p>
        </w:tc>
        <w:tc>
          <w:tcPr>
            <w:tcW w:type="dxa" w:w="1843"/>
            <w:vAlign w:val="center"/>
          </w:tcPr>
          <w:p>
            <w:pPr>
              <w:spacing w:after="0"/>
            </w:pPr>
            <w:r/>
            <w:r>
              <w:rPr>
                <w:b w:val="0"/>
                <w:sz w:val="14"/>
              </w:rPr>
              <w:t>10</w:t>
            </w:r>
          </w:p>
        </w:tc>
        <w:tc>
          <w:tcPr>
            <w:tcW w:type="dxa" w:w="1843"/>
            <w:vAlign w:val="center"/>
          </w:tcPr>
          <w:p>
            <w:pPr>
              <w:spacing w:after="0"/>
            </w:pPr>
            <w:r/>
            <w:r>
              <w:rPr>
                <w:b w:val="0"/>
                <w:sz w:val="14"/>
              </w:rPr>
              <w:t>20.0</w:t>
            </w:r>
          </w:p>
        </w:tc>
      </w:tr>
      <w:tr>
        <w:tc>
          <w:tcPr>
            <w:tcW w:type="dxa" w:w="3096"/>
            <w:vAlign w:val="center"/>
          </w:tcPr>
          <w:p>
            <w:pPr>
              <w:spacing w:after="0"/>
            </w:pPr>
            <w:r/>
            <w:r>
              <w:rPr>
                <w:b w:val="0"/>
                <w:sz w:val="14"/>
              </w:rPr>
              <w:t>Continuity / implementation risk (20)</w:t>
            </w:r>
          </w:p>
        </w:tc>
        <w:tc>
          <w:tcPr>
            <w:tcW w:type="dxa" w:w="893"/>
            <w:vAlign w:val="center"/>
          </w:tcPr>
          <w:p>
            <w:pPr>
              <w:spacing w:after="0"/>
            </w:pPr>
            <w:r/>
            <w:r>
              <w:rPr>
                <w:b w:val="0"/>
                <w:sz w:val="14"/>
              </w:rPr>
              <w:t>9</w:t>
            </w:r>
          </w:p>
        </w:tc>
        <w:tc>
          <w:tcPr>
            <w:tcW w:type="dxa" w:w="1843"/>
            <w:vAlign w:val="center"/>
          </w:tcPr>
          <w:p>
            <w:pPr>
              <w:spacing w:after="0"/>
            </w:pPr>
            <w:r/>
            <w:r>
              <w:rPr>
                <w:b w:val="0"/>
                <w:sz w:val="14"/>
              </w:rPr>
              <w:t>18.0</w:t>
            </w:r>
          </w:p>
        </w:tc>
        <w:tc>
          <w:tcPr>
            <w:tcW w:type="dxa" w:w="1843"/>
            <w:vAlign w:val="center"/>
          </w:tcPr>
          <w:p>
            <w:pPr>
              <w:spacing w:after="0"/>
            </w:pPr>
            <w:r/>
            <w:r>
              <w:rPr>
                <w:b w:val="0"/>
                <w:sz w:val="14"/>
              </w:rPr>
              <w:t>6</w:t>
            </w:r>
          </w:p>
        </w:tc>
        <w:tc>
          <w:tcPr>
            <w:tcW w:type="dxa" w:w="1843"/>
            <w:vAlign w:val="center"/>
          </w:tcPr>
          <w:p>
            <w:pPr>
              <w:spacing w:after="0"/>
            </w:pPr>
            <w:r/>
            <w:r>
              <w:rPr>
                <w:b w:val="0"/>
                <w:sz w:val="14"/>
              </w:rPr>
              <w:t>12.0</w:t>
            </w:r>
          </w:p>
        </w:tc>
      </w:tr>
      <w:tr>
        <w:tc>
          <w:tcPr>
            <w:tcW w:type="dxa" w:w="3096"/>
            <w:vAlign w:val="center"/>
            <w:shd w:fill="EAF0F6"/>
          </w:tcPr>
          <w:p>
            <w:pPr>
              <w:spacing w:after="0"/>
            </w:pPr>
            <w:r/>
            <w:r>
              <w:rPr>
                <w:b/>
                <w:sz w:val="14"/>
              </w:rPr>
              <w:t>TOTAL (100)</w:t>
            </w:r>
          </w:p>
        </w:tc>
        <w:tc>
          <w:tcPr>
            <w:tcW w:type="dxa" w:w="893"/>
            <w:vAlign w:val="center"/>
            <w:shd w:fill="EAF0F6"/>
          </w:tcPr>
          <w:p>
            <w:pPr>
              <w:spacing w:after="0"/>
            </w:pPr>
            <w:r/>
            <w:r>
              <w:rPr>
                <w:b/>
                <w:sz w:val="14"/>
              </w:rPr>
              <w:t>—</w:t>
            </w:r>
          </w:p>
        </w:tc>
        <w:tc>
          <w:tcPr>
            <w:tcW w:type="dxa" w:w="1843"/>
            <w:vAlign w:val="center"/>
            <w:shd w:fill="EAF0F6"/>
          </w:tcPr>
          <w:p>
            <w:pPr>
              <w:spacing w:after="0"/>
            </w:pPr>
            <w:r/>
            <w:r>
              <w:rPr>
                <w:b/>
                <w:sz w:val="14"/>
              </w:rPr>
              <w:t>73.0</w:t>
            </w:r>
          </w:p>
        </w:tc>
        <w:tc>
          <w:tcPr>
            <w:tcW w:type="dxa" w:w="1843"/>
            <w:vAlign w:val="center"/>
            <w:shd w:fill="EAF0F6"/>
          </w:tcPr>
          <w:p>
            <w:pPr>
              <w:spacing w:after="0"/>
            </w:pPr>
            <w:r/>
            <w:r>
              <w:rPr>
                <w:b/>
                <w:sz w:val="14"/>
              </w:rPr>
              <w:t>—</w:t>
            </w:r>
          </w:p>
        </w:tc>
        <w:tc>
          <w:tcPr>
            <w:tcW w:type="dxa" w:w="1843"/>
            <w:vAlign w:val="center"/>
            <w:shd w:fill="EAF0F6"/>
          </w:tcPr>
          <w:p>
            <w:pPr>
              <w:spacing w:after="0"/>
            </w:pPr>
            <w:r/>
            <w:r>
              <w:rPr>
                <w:b/>
                <w:sz w:val="14"/>
              </w:rPr>
              <w:t>67.5</w:t>
            </w:r>
          </w:p>
        </w:tc>
      </w:tr>
    </w:tbl>
    <w:p>
      <w:pPr>
        <w:spacing w:before="60" w:after="40"/>
      </w:pPr>
      <w:r>
        <w:rPr>
          <w:b/>
        </w:rPr>
        <w:t xml:space="preserve">Why the continuity score is not money. </w:t>
      </w:r>
      <w:r>
        <w:t>Marlowe technicians already understand Westmere’s shift-release pattern and crews that commonly need retest coordination. I scored that as a qualitative continuity advantage (9/10 versus 6/10), not as a guaranteed service level or cash saving; no valid price was supplied for it. The fixed provider’s faster retest access is reflected in its 10/10 retest score.</w:t>
      </w:r>
    </w:p>
    <w:p>
      <w:pPr>
        <w:spacing w:before="40" w:after="20"/>
      </w:pPr>
      <w:r>
        <w:rPr>
          <w:b/>
          <w:color w:val="1F4268"/>
        </w:rPr>
        <w:t>Safeguards that procurement must preserve (England, as at 15 February 2025).</w:t>
      </w:r>
    </w:p>
    <w:p>
      <w:pPr>
        <w:spacing w:after="40"/>
        <w:ind w:left="115"/>
      </w:pPr>
      <w:r>
        <w:rPr>
          <w:b/>
        </w:rPr>
        <w:t xml:space="preserve">• </w:t>
      </w:r>
      <w:r>
        <w:rPr>
          <w:b/>
        </w:rPr>
        <w:t>Noise-risk assessment and the Control of Noise at Work Regulations 2005 determine whether surveillance is needed and how often; buying a contract alone does not prove compliance. Westmere retains responsibility for a suitable programme and acting on competent advice.</w:t>
        <w:br/>
        <w:t xml:space="preserve">• </w:t>
      </w:r>
      <w:r>
        <w:rPr>
          <w:b/>
        </w:rPr>
        <w:t>Keep competent occupational-health oversight of test quality, repeat testing, interpretation, worker communication, and referral/escalation of concerning results; the vendor is not a substitute for clinical governance.</w:t>
        <w:br/>
        <w:t xml:space="preserve">• </w:t>
      </w:r>
      <w:r>
        <w:t>Audiograms are confidential special-category health information. Restrict identifiable records to the clinical team; give managers only appropriate aggregate programme information or limited fitness advice. Contract for proportionate UK GDPR/Data Protection Act 2018 controls: clear controller/processor roles, purpose limitation, minimised data, secure transfer, access limits, retention/deletion rules, and breach responsibilities. Consent is not automatically the sole lawful basis.</w:t>
      </w:r>
    </w:p>
    <w:p>
      <w:pPr>
        <w:spacing w:before="40" w:after="40"/>
      </w:pPr>
      <w:r>
        <w:rPr>
          <w:b/>
        </w:rPr>
        <w:t xml:space="preserve">Evidence limits and assumptions. </w:t>
      </w:r>
      <w:r>
        <w:t>This desk-based recommendation uses only the quoted planning facts. No pilot, provider visit, workforce consultation, or fresh exposure review was completed before the deadline; figures assume all 509 events are completed at the quoted rates and attendance times. Contracting should preserve the safeguards above and verify supplied assumptions proportionately, without treating those checks as already done. Workforce information is aggregate only.</w:t>
      </w:r>
    </w:p>
    <w:p>
      <w:pPr>
        <w:spacing w:before="60" w:after="0"/>
      </w:pPr>
      <w:r>
        <w:rPr>
          <w:b/>
          <w:color w:val="1F4268"/>
          <w:sz w:val="19"/>
        </w:rPr>
        <w:t>Recommended decision: Westmere should appoint Marlowe Trading Company for the replacement audiometry arrangement.</w:t>
      </w:r>
    </w:p>
    <w:sectPr w:rsidR="00FC693F" w:rsidRPr="0006063C" w:rsidSect="00034616">
      <w:pgSz w:w="12240" w:h="15840"/>
      <w:pgMar w:top="648"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