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CORRECTIVE ACTION REQUEST</w:t>
      </w:r>
    </w:p>
    <w:p>
      <w:pPr>
        <w:spacing w:after="80"/>
      </w:pPr>
      <w:r>
        <w:rPr>
          <w:i/>
          <w:color w:val="595959"/>
          <w:sz w:val="16"/>
        </w:rPr>
        <w:t>MC-SCAR-26-041  |  Status: Prepared for release  |  Issue date: 16-Mar-2026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rPr>
          <w:tblHeader w:val="true"/>
        </w:trPr>
        <w:tc>
          <w:tcPr>
            <w:tcW w:type="dxa" w:w="29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Field</w:t>
            </w:r>
          </w:p>
        </w:tc>
        <w:tc>
          <w:tcPr>
            <w:tcW w:type="dxa" w:w="88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Controlled value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Supplier / response role</w:t>
            </w:r>
          </w:p>
        </w:tc>
        <w:tc>
          <w:tcPr>
            <w:tcW w:type="dxa" w:w="88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Yewbank Instruments | Quality Manager (acknowledgement requested; not yet received)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Product / requirement</w:t>
            </w:r>
          </w:p>
        </w:tc>
        <w:tc>
          <w:tcPr>
            <w:tcW w:type="dxa" w:w="88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74-1182 Mounting Collar / Rev D | DWG 74-1182 Rev D, Note 6: Remove all weld spatter from the mounting interface face and locating bore. No raised residue is permitted on either interface feature.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Recipient / issuing authority</w:t>
            </w:r>
          </w:p>
        </w:tc>
        <w:tc>
          <w:tcPr>
            <w:tcW w:type="dxa" w:w="88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quality@yewbank-instruments.example | Ilse Fitzgerald, Senior Buyer; technical content review: Kamil Ekstrom, Supplier Quality Lead; reviewed 13-Mar-2026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Known scope</w:t>
            </w:r>
          </w:p>
        </w:tc>
        <w:tc>
          <w:tcPr>
            <w:tcW w:type="dxa" w:w="88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Receipts R-88192, R-88317; YW-2601-04, YW-2601-11, YW-2602-03, YW-2602-07, YW-2602-12. Known findings are not the full suspect population; supplier confirmation required.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Response route through 30-Apr-2026</w:t>
            </w:r>
          </w:p>
        </w:tc>
        <w:tc>
          <w:tcPr>
            <w:tcW w:type="dxa" w:w="88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Reply by email to the issuing route and identify MC-SCAR-26-041; Marchbank records milestones in CMQ-Log.</w:t>
            </w:r>
          </w:p>
        </w:tc>
      </w:tr>
    </w:tbl>
    <w:p>
      <w:pPr>
        <w:spacing w:after="0"/>
      </w:pPr>
    </w:p>
    <w:p>
      <w:pPr>
        <w:pStyle w:val="Heading2"/>
      </w:pPr>
      <w:r>
        <w:t>1. Objective nonconformance and recurrence</w:t>
      </w:r>
    </w:p>
    <w:p>
      <w:pPr>
        <w:spacing w:after="40"/>
      </w:pPr>
      <w:r>
        <w:t>Observed condition: weld spatter / raised residue was observed on the mounting interface face adjacent to the locating bore. It does not meet the stated drawing note. Evidence: IR-25-188, IR-26-031, IR-26-047 and photo set IR-26-047-A through -D. This SCAR does not assign a cause or blame.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2"/>
        <w:gridCol w:w="2172"/>
        <w:gridCol w:w="2172"/>
        <w:gridCol w:w="2172"/>
        <w:gridCol w:w="2172"/>
      </w:tblGrid>
      <w:tr>
        <w:trPr>
          <w:tblHeader w:val="true"/>
        </w:trPr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Comparable period</w:t>
            </w:r>
          </w:p>
        </w:tc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Received / inspected</w:t>
            </w:r>
          </w:p>
        </w:tc>
        <w:tc>
          <w:tcPr>
            <w:tcW w:type="dxa" w:w="14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Nonconforming</w:t>
            </w:r>
          </w:p>
        </w:tc>
        <w:tc>
          <w:tcPr>
            <w:tcW w:type="dxa" w:w="7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Rate</w:t>
            </w:r>
          </w:p>
        </w:tc>
        <w:tc>
          <w:tcPr>
            <w:tcW w:type="dxa" w:w="56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Affected lots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01-Oct-2025 to 31-Dec-2025</w:t>
            </w:r>
          </w:p>
        </w:tc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1240</w:t>
            </w:r>
          </w:p>
        </w:tc>
        <w:tc>
          <w:tcPr>
            <w:tcW w:type="dxa" w:w="14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11</w:t>
            </w:r>
          </w:p>
        </w:tc>
        <w:tc>
          <w:tcPr>
            <w:tcW w:type="dxa" w:w="7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0.9%</w:t>
            </w:r>
          </w:p>
        </w:tc>
        <w:tc>
          <w:tcPr>
            <w:tcW w:type="dxa" w:w="56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2 of 18: YW-2510-08, YW-2511-02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01-Jan-2026 to 29-Feb-2026</w:t>
            </w:r>
          </w:p>
        </w:tc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1060</w:t>
            </w:r>
          </w:p>
        </w:tc>
        <w:tc>
          <w:tcPr>
            <w:tcW w:type="dxa" w:w="14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47</w:t>
            </w:r>
          </w:p>
        </w:tc>
        <w:tc>
          <w:tcPr>
            <w:tcW w:type="dxa" w:w="7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4.4%</w:t>
            </w:r>
          </w:p>
        </w:tc>
        <w:tc>
          <w:tcPr>
            <w:tcW w:type="dxa" w:w="56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5 of 14: YW-2601-04, YW-2601-11, YW-2602-03, YW-2602-07, YW-2602-12</w:t>
            </w:r>
          </w:p>
        </w:tc>
      </w:tr>
    </w:tbl>
    <w:p>
      <w:pPr>
        <w:spacing w:after="0"/>
      </w:pPr>
    </w:p>
    <w:p>
      <w:pPr>
        <w:spacing w:after="40"/>
      </w:pPr>
      <w:r>
        <w:t>The later period has 36 more nonconforming pieces despite -180 fewer received/inspected pieces, and the rate increased from 0.9% to 4.4% (5.0x). Lot incidence rose from 2 of 18 to 5 of 14. This makes recurrence material; the records do not establish why it changed.</w:t>
      </w:r>
    </w:p>
    <w:p>
      <w:pPr>
        <w:pStyle w:val="Heading2"/>
      </w:pPr>
      <w:r>
        <w:t>2. Immediate containment and suspect material</w:t>
      </w:r>
    </w:p>
    <w:p>
      <w:pPr>
        <w:spacing w:after="40"/>
      </w:pPr>
      <w:r>
        <w:t>By 17-Mar-2026 (1 business day after issue), acknowledge this SCAR and provide a containment plan and completion confirmation. Identify, segregate and controlled-inspect known and potentially suspect material at Yewbank, Marchbank receiving, and Marchbank line-side WIP. Reconcile all suspect lots/shipments, quantities and locations; give each known or newly identified suspect population a documented status and controlled disposition (quarantine, rework, return, scrap, or approved concession review). Detection alone is not disposition.</w:t>
      </w:r>
    </w:p>
    <w:p>
      <w:pPr>
        <w:spacing w:after="40"/>
      </w:pPr>
      <w:r>
        <w:t>Apply 100% inspection to the suspect population and all future shipments until Marchbank accepts corrective action or effectiveness is demonstrated. Each shipment must be controlled-identified and accompanied by lot-specific inspection evidence and a shipment certification confirming compliance with Drawing Note 6. This containment request does not authorize a supplier charge, chargeback, or cost allocation. Allocation of sorting or related cost is expressly reserved for separate authorized commercial review under Purchasing Terms §12.4.</w:t>
      </w:r>
    </w:p>
    <w:p>
      <w:pPr>
        <w:pStyle w:val="Heading2"/>
      </w:pPr>
      <w:r>
        <w:t>3. Supplier response and evidence</w:t>
      </w:r>
    </w:p>
    <w:p>
      <w:pPr>
        <w:spacing w:after="40"/>
      </w:pPr>
      <w:r>
        <w:t>Acknowledge receipt by 18-Mar-2026 (2 business days). Submit a complete 8D response by 30-Mar-2026 (10 business days): (a) occurrence cause, (b) escape/detection cause, (c) analysis method and supporting records, (d) cause-linked corrective actions with action owner, due date, status and actual completion date, and (e) implementation evidence identifiers (for example revised work instruction, training record, inspection record, process/change record or photographs). Any extension must be documented, approved by the SCAR Administrator, and recorded in CMQ-Log before the applicable due date.</w:t>
      </w:r>
    </w:p>
    <w:p>
      <w:pPr>
        <w:pStyle w:val="Heading2"/>
      </w:pPr>
      <w:r>
        <w:t>4. Effectiveness, rights, and closure</w:t>
      </w:r>
    </w:p>
    <w:p>
      <w:pPr>
        <w:spacing w:after="40"/>
      </w:pPr>
      <w:r>
        <w:t>For each action, propose an effectiveness measure with baseline/comparison, acceptance criterion, monitored lots or observation window, result, and supplier reviewer/date. Marchbank will designate the technical reviewer and review timing after implementation evidence is received. Supplier submission or a completed action does not close this SCAR. Closure is reserved to authorized Marchbank review after containment, supported cause analysis, implementation evidence, and effectiveness evidence are available.</w:t>
      </w:r>
    </w:p>
    <w:p>
      <w:pPr>
        <w:spacing w:after="40"/>
      </w:pPr>
      <w:r>
        <w:t>No prior detection history constitutes acceptance, waiver, permanent deviation, or a change to the drawing. Marchbank reserves all rights and requires the drawing requirement to be maintained. If this SCAR remains open at 01-May-2026, Marchbank will preserve CMQ-Log references and migrate/reconcile the case to SAPortal, the system of record. If portal access is unavailable, supplier shall use the email route; Marchbank will use QF-17 and maintain Open - Blocked with an escalation owner until reconciliation within 2 business days after access restoration.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rPr>
          <w:tblHeader w:val="true"/>
        </w:trPr>
        <w:tc>
          <w:tcPr>
            <w:tcW w:type="dxa" w:w="576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Supplier acknowledgement (requested)</w:t>
            </w:r>
          </w:p>
        </w:tc>
        <w:tc>
          <w:tcPr>
            <w:tcW w:type="dxa" w:w="604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Marchbank closure control</w:t>
            </w:r>
          </w:p>
        </w:tc>
      </w:tr>
      <w:tr>
        <w:trPr>
          <w:cantSplit/>
        </w:trPr>
        <w:tc>
          <w:tcPr>
            <w:tcW w:type="dxa" w:w="576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Name / role: ____________________   Date: __________   Response reference: ____________________</w:t>
            </w:r>
          </w:p>
        </w:tc>
        <w:tc>
          <w:tcPr>
            <w:tcW w:type="dxa" w:w="604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Status: Prepared for release / Open / Open - Blocked / Supplier submitted / Technical acceptance / Commercial review (if applicable) / Effectiveness approved / Closed by Marchbank</w:t>
              <w:br/>
              <w:t>Authorized Marchbank reviewer: ____________________   Review date: 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Controlled document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4"/>
      </w:rPr>
      <w:t>MARCHBANK CONSORTIUM  |  SUPPLIER QUALITY &amp; PURCHASING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