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
      </w:pPr>
      <w:r>
        <w:rPr>
          <w:rFonts w:ascii="Aptos" w:hAnsi="Aptos"/>
          <w:b/>
          <w:i w:val="0"/>
          <w:color w:val="17324D"/>
          <w:sz w:val="34"/>
        </w:rPr>
        <w:t>Revised Compliance Assessment</w:t>
      </w:r>
    </w:p>
    <w:p>
      <w:pPr>
        <w:spacing w:after="180"/>
      </w:pPr>
      <w:r>
        <w:rPr>
          <w:rFonts w:ascii="Aptos" w:hAnsi="Aptos"/>
          <w:b w:val="0"/>
          <w:i w:val="0"/>
          <w:color w:val="526170"/>
          <w:sz w:val="19"/>
        </w:rPr>
        <w:t>Annual respiratory surveillance completion claim | Ibrahim Bruns | Hartsmere Works</w:t>
      </w:r>
    </w:p>
    <w:tbl>
      <w:tblPr>
        <w:tblW w:type="auto" w:w="0"/>
        <w:jc w:val="center"/>
        <w:tblLayout w:type="fixed"/>
        <w:tblLook w:firstColumn="1" w:firstRow="1" w:lastColumn="0" w:lastRow="0" w:noHBand="0" w:noVBand="1" w:val="04A0"/>
      </w:tblPr>
      <w:tblGrid>
        <w:gridCol w:w="2268"/>
        <w:gridCol w:w="7824"/>
      </w:tblGrid>
      <w:tr>
        <w:tc>
          <w:tcPr>
            <w:tcW w:type="dxa" w:w="5074"/>
            <w:shd w:fill="17324D"/>
            <w:tcBorders>
              <w:top w:val="single" w:sz="6" w:color="1F5B60"/>
              <w:left w:val="single" w:sz="6" w:color="1F5B60"/>
              <w:bottom w:val="single" w:sz="6" w:color="1F5B60"/>
              <w:right w:val="single" w:sz="6" w:color="1F5B60"/>
            </w:tcBorders>
            <w:vAlign w:val="top"/>
            <w:tcMar>
              <w:top w:w="80" w:type="dxa"/>
              <w:start w:w="100" w:type="dxa"/>
              <w:bottom w:w="80" w:type="dxa"/>
              <w:end w:w="100" w:type="dxa"/>
            </w:tcMar>
          </w:tcPr>
          <w:p>
            <w:pPr>
              <w:spacing w:after="0" w:line="254" w:lineRule="auto"/>
              <w:jc w:val="center"/>
            </w:pPr>
            <w:r/>
            <w:r>
              <w:rPr>
                <w:rFonts w:ascii="Aptos" w:hAnsi="Aptos"/>
                <w:b/>
                <w:i w:val="0"/>
                <w:color w:val="FFFFFF"/>
                <w:sz w:val="17"/>
              </w:rPr>
              <w:t>OVERALL</w:t>
              <w:br/>
              <w:t>VERDICT</w:t>
            </w:r>
          </w:p>
        </w:tc>
        <w:tc>
          <w:tcPr>
            <w:tcW w:type="dxa" w:w="5074"/>
            <w:shd w:fill="EAF1F3"/>
            <w:tcBorders>
              <w:top w:val="single" w:sz="6" w:color="1F5B60"/>
              <w:left w:val="single" w:sz="6" w:color="1F5B60"/>
              <w:bottom w:val="single" w:sz="6" w:color="1F5B60"/>
              <w:right w:val="single" w:sz="6" w:color="1F5B60"/>
            </w:tcBorders>
            <w:vAlign w:val="top"/>
            <w:tcMar>
              <w:top w:w="80" w:type="dxa"/>
              <w:start w:w="100" w:type="dxa"/>
              <w:bottom w:w="80" w:type="dxa"/>
              <w:end w:w="100" w:type="dxa"/>
            </w:tcMar>
          </w:tcPr>
          <w:p>
            <w:pPr>
              <w:spacing w:after="0" w:line="254" w:lineRule="auto"/>
            </w:pPr>
            <w:r/>
            <w:r>
              <w:rPr>
                <w:rFonts w:ascii="Aptos" w:hAnsi="Aptos"/>
                <w:b w:val="0"/>
                <w:i w:val="0"/>
                <w:color w:val="1E2B36"/>
                <w:sz w:val="18"/>
              </w:rPr>
            </w:r>
            <w:r>
              <w:rPr>
                <w:rFonts w:ascii="Aptos" w:hAnsi="Aptos"/>
                <w:b/>
                <w:i w:val="0"/>
                <w:color w:val="1F5B60"/>
                <w:sz w:val="24"/>
              </w:rPr>
              <w:t>INDETERMINATE</w:t>
            </w:r>
            <w:r>
              <w:t xml:space="preserve">  </w:t>
            </w:r>
            <w:r>
              <w:rPr>
                <w:rFonts w:ascii="Aptos" w:hAnsi="Aptos"/>
                <w:b w:val="0"/>
                <w:i w:val="0"/>
                <w:color w:val="1E2B36"/>
                <w:sz w:val="18"/>
              </w:rPr>
              <w:t>The supplied frozen records do not establish every contract-recorded element of completion.</w:t>
            </w:r>
          </w:p>
        </w:tc>
      </w:tr>
    </w:tbl>
    <w:p>
      <w:pPr>
        <w:spacing w:after="20"/>
      </w:pPr>
    </w:p>
    <w:p>
      <w:pPr>
        <w:pStyle w:val="Assessmentheading"/>
        <w:keepNext/>
        <w:spacing w:before="160" w:after="60"/>
      </w:pPr>
      <w:r>
        <w:rPr>
          <w:rFonts w:ascii="Aptos" w:hAnsi="Aptos"/>
          <w:b/>
          <w:i w:val="0"/>
          <w:color w:val="1F5B60"/>
          <w:sz w:val="21"/>
        </w:rPr>
        <w:t>Scope and records reviewed</w:t>
      </w:r>
    </w:p>
    <w:p>
      <w:pPr>
        <w:spacing w:after="100"/>
      </w:pPr>
      <w:r>
        <w:rPr>
          <w:rFonts w:ascii="Aptos" w:hAnsi="Aptos"/>
          <w:b w:val="0"/>
          <w:i w:val="0"/>
          <w:color w:val="1E2B36"/>
          <w:sz w:val="18"/>
        </w:rPr>
        <w:t>This assessment addresses the claim that Ibrahim Bruns completed the required annual respiratory surveillance. It uses only wheatcroft_hartsmere_surveillance_snapshot.pdf, a frozen bundle through 17 May 2026, 18:00 UTC: Wheatcroft Alliance Service Agreement - Schedule 4: Hartsmere Works (01 January 2026), the clinical encounter extract, and the laboratory-results snapshot.</w:t>
      </w:r>
    </w:p>
    <w:p>
      <w:pPr>
        <w:pStyle w:val="Assessmentheading"/>
        <w:keepNext/>
        <w:spacing w:before="160" w:after="60"/>
      </w:pPr>
      <w:r>
        <w:rPr>
          <w:rFonts w:ascii="Aptos" w:hAnsi="Aptos"/>
          <w:b/>
          <w:i w:val="0"/>
          <w:color w:val="1F5B60"/>
          <w:sz w:val="21"/>
        </w:rPr>
        <w:t>Contract definition applied</w:t>
      </w:r>
    </w:p>
    <w:p>
      <w:pPr>
        <w:spacing w:after="100"/>
      </w:pPr>
      <w:r>
        <w:rPr>
          <w:rFonts w:ascii="Aptos" w:hAnsi="Aptos"/>
          <w:b w:val="0"/>
          <w:i w:val="0"/>
          <w:color w:val="1E2B36"/>
          <w:sz w:val="18"/>
        </w:rPr>
        <w:t>Under 7.3 Annual respiratory surveillance of the contract effective 01 January 2026, completion is recorded only when the same surveillance episode has: required specimen collection; a laboratory result with status FINAL; and clinician review documented together with the applicable occupational disposition. FINAL denotes laboratory processing status; it does not itself record completion of the full surveillance requirement.</w:t>
      </w:r>
    </w:p>
    <w:p>
      <w:pPr>
        <w:pStyle w:val="Assessmentheading"/>
        <w:keepNext/>
        <w:spacing w:before="160" w:after="60"/>
      </w:pPr>
      <w:r>
        <w:rPr>
          <w:rFonts w:ascii="Aptos" w:hAnsi="Aptos"/>
          <w:b/>
          <w:i w:val="0"/>
          <w:color w:val="1F5B60"/>
          <w:sz w:val="21"/>
        </w:rPr>
        <w:t>Recorded evidence</w:t>
      </w:r>
    </w:p>
    <w:tbl>
      <w:tblPr>
        <w:tblW w:type="auto" w:w="0"/>
        <w:jc w:val="center"/>
        <w:tblLayout w:type="fixed"/>
        <w:tblLook w:firstColumn="1" w:firstRow="1" w:lastColumn="0" w:lastRow="0" w:noHBand="0" w:noVBand="1" w:val="04A0"/>
      </w:tblPr>
      <w:tblGrid>
        <w:gridCol w:w="1701"/>
        <w:gridCol w:w="2523"/>
        <w:gridCol w:w="5868"/>
      </w:tblGrid>
      <w:tr>
        <w:trPr>
          <w:tblHeader w:val="true"/>
        </w:trPr>
        <w:tc>
          <w:tcPr>
            <w:tcW w:type="dxa" w:w="3383"/>
            <w:shd w:fill="17324D"/>
            <w:vAlign w:val="top"/>
            <w:tcMar>
              <w:top w:w="80" w:type="dxa"/>
              <w:start w:w="100" w:type="dxa"/>
              <w:bottom w:w="80" w:type="dxa"/>
              <w:end w:w="100" w:type="dxa"/>
            </w:tcMar>
          </w:tcPr>
          <w:p>
            <w:pPr>
              <w:spacing w:after="0" w:line="254" w:lineRule="auto"/>
            </w:pPr>
            <w:r/>
            <w:r>
              <w:rPr>
                <w:rFonts w:ascii="Aptos" w:hAnsi="Aptos"/>
                <w:b/>
                <w:i w:val="0"/>
                <w:color w:val="FFFFFF"/>
                <w:sz w:val="16"/>
              </w:rPr>
              <w:t>Source</w:t>
            </w:r>
          </w:p>
        </w:tc>
        <w:tc>
          <w:tcPr>
            <w:tcW w:type="dxa" w:w="3383"/>
            <w:shd w:fill="17324D"/>
            <w:vAlign w:val="top"/>
            <w:tcMar>
              <w:top w:w="80" w:type="dxa"/>
              <w:start w:w="100" w:type="dxa"/>
              <w:bottom w:w="80" w:type="dxa"/>
              <w:end w:w="100" w:type="dxa"/>
            </w:tcMar>
          </w:tcPr>
          <w:p>
            <w:pPr>
              <w:spacing w:after="0" w:line="254" w:lineRule="auto"/>
            </w:pPr>
            <w:r/>
            <w:r>
              <w:rPr>
                <w:rFonts w:ascii="Aptos" w:hAnsi="Aptos"/>
                <w:b/>
                <w:i w:val="0"/>
                <w:color w:val="FFFFFF"/>
                <w:sz w:val="16"/>
              </w:rPr>
              <w:t>Record / date</w:t>
            </w:r>
          </w:p>
        </w:tc>
        <w:tc>
          <w:tcPr>
            <w:tcW w:type="dxa" w:w="3383"/>
            <w:shd w:fill="17324D"/>
            <w:vAlign w:val="top"/>
            <w:tcMar>
              <w:top w:w="80" w:type="dxa"/>
              <w:start w:w="100" w:type="dxa"/>
              <w:bottom w:w="80" w:type="dxa"/>
              <w:end w:w="100" w:type="dxa"/>
            </w:tcMar>
          </w:tcPr>
          <w:p>
            <w:pPr>
              <w:spacing w:after="0" w:line="254" w:lineRule="auto"/>
            </w:pPr>
            <w:r/>
            <w:r>
              <w:rPr>
                <w:rFonts w:ascii="Aptos" w:hAnsi="Aptos"/>
                <w:b/>
                <w:i w:val="0"/>
                <w:color w:val="FFFFFF"/>
                <w:sz w:val="16"/>
              </w:rPr>
              <w:t>Recorded fact</w:t>
            </w:r>
          </w:p>
        </w:tc>
      </w:tr>
      <w:tr>
        <w:trPr>
          <w:cantSplit/>
        </w:trPr>
        <w:tc>
          <w:tcPr>
            <w:tcW w:type="dxa" w:w="1701"/>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i w:val="0"/>
                <w:color w:val="1F5B60"/>
                <w:sz w:val="16"/>
              </w:rPr>
              <w:t>Contract</w:t>
            </w:r>
          </w:p>
        </w:tc>
        <w:tc>
          <w:tcPr>
            <w:tcW w:type="dxa" w:w="2523"/>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val="0"/>
                <w:i w:val="0"/>
                <w:color w:val="1E2B36"/>
                <w:sz w:val="16"/>
              </w:rPr>
              <w:t>7.3 Annual respiratory surveillance</w:t>
              <w:br/>
              <w:t>Effective 01 January 2026</w:t>
            </w:r>
          </w:p>
        </w:tc>
        <w:tc>
          <w:tcPr>
            <w:tcW w:type="dxa" w:w="5868"/>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val="0"/>
                <w:i w:val="0"/>
                <w:color w:val="1E2B36"/>
                <w:sz w:val="16"/>
              </w:rPr>
              <w:t>Defines collection, FINAL laboratory result, and documented clinician review with applicable occupational disposition as separate completion elements.</w:t>
            </w:r>
          </w:p>
        </w:tc>
      </w:tr>
      <w:tr>
        <w:trPr>
          <w:cantSplit/>
        </w:trPr>
        <w:tc>
          <w:tcPr>
            <w:tcW w:type="dxa" w:w="1701"/>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i w:val="0"/>
                <w:color w:val="1F5B60"/>
                <w:sz w:val="16"/>
              </w:rPr>
              <w:t>Clinical record</w:t>
            </w:r>
          </w:p>
        </w:tc>
        <w:tc>
          <w:tcPr>
            <w:tcW w:type="dxa" w:w="2523"/>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val="0"/>
                <w:i w:val="0"/>
                <w:color w:val="1E2B36"/>
                <w:sz w:val="16"/>
              </w:rPr>
              <w:t>Encounter OH-HW-260514-117</w:t>
              <w:br/>
              <w:t>14 May 2026</w:t>
            </w:r>
          </w:p>
        </w:tc>
        <w:tc>
          <w:tcPr>
            <w:tcW w:type="dxa" w:w="5868"/>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val="0"/>
                <w:i w:val="0"/>
                <w:color w:val="1E2B36"/>
                <w:sz w:val="16"/>
              </w:rPr>
              <w:t>Records Ibrahim Bruns attended and the required specimen was collected for the HWS Annual Respiratory Surveillance Test.</w:t>
            </w:r>
          </w:p>
        </w:tc>
      </w:tr>
      <w:tr>
        <w:trPr>
          <w:cantSplit/>
        </w:trPr>
        <w:tc>
          <w:tcPr>
            <w:tcW w:type="dxa" w:w="1701"/>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i w:val="0"/>
                <w:color w:val="1F5B60"/>
                <w:sz w:val="16"/>
              </w:rPr>
              <w:t>Laboratory snapshot</w:t>
            </w:r>
          </w:p>
        </w:tc>
        <w:tc>
          <w:tcPr>
            <w:tcW w:type="dxa" w:w="2523"/>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val="0"/>
                <w:i w:val="0"/>
                <w:color w:val="1E2B36"/>
                <w:sz w:val="16"/>
              </w:rPr>
              <w:t>WCL-26-0514-8831</w:t>
              <w:br/>
              <w:t>Collected 14-May-2026</w:t>
              <w:br/>
              <w:t>Finalised 16-May-2026 10:42 UTC</w:t>
            </w:r>
          </w:p>
        </w:tc>
        <w:tc>
          <w:tcPr>
            <w:tcW w:type="dxa" w:w="5868"/>
            <w:tcBorders>
              <w:top w:val="single" w:sz="4" w:color="C7D0D8"/>
              <w:left w:val="single" w:sz="4" w:color="C7D0D8"/>
              <w:bottom w:val="single" w:sz="4" w:color="C7D0D8"/>
              <w:right w:val="single" w:sz="4" w:color="C7D0D8"/>
            </w:tcBorders>
            <w:vAlign w:val="top"/>
            <w:tcMar>
              <w:top w:w="80" w:type="dxa"/>
              <w:start w:w="100" w:type="dxa"/>
              <w:bottom w:w="80" w:type="dxa"/>
              <w:end w:w="100" w:type="dxa"/>
            </w:tcMar>
          </w:tcPr>
          <w:p>
            <w:pPr>
              <w:spacing w:after="0" w:line="254" w:lineRule="auto"/>
            </w:pPr>
            <w:r/>
            <w:r>
              <w:rPr>
                <w:rFonts w:ascii="Aptos" w:hAnsi="Aptos"/>
                <w:b w:val="0"/>
                <w:i w:val="0"/>
                <w:color w:val="1E2B36"/>
                <w:sz w:val="16"/>
              </w:rPr>
              <w:t>Lists I. Bruns for the HWS Annual Respiratory Surveillance Test with status FINAL.</w:t>
            </w:r>
          </w:p>
        </w:tc>
      </w:tr>
    </w:tbl>
    <w:p>
      <w:pPr>
        <w:pStyle w:val="Assessmentheading"/>
        <w:keepNext/>
        <w:spacing w:before="160" w:after="60"/>
      </w:pPr>
      <w:r>
        <w:rPr>
          <w:rFonts w:ascii="Aptos" w:hAnsi="Aptos"/>
          <w:b/>
          <w:i w:val="0"/>
          <w:color w:val="1F5B60"/>
          <w:sz w:val="21"/>
        </w:rPr>
        <w:t>Cross-record match and minimum-necessary handling</w:t>
      </w:r>
    </w:p>
    <w:p>
      <w:pPr>
        <w:spacing w:after="100"/>
      </w:pPr>
      <w:r>
        <w:rPr>
          <w:rFonts w:ascii="Aptos" w:hAnsi="Aptos"/>
          <w:b w:val="0"/>
          <w:i w:val="0"/>
          <w:color w:val="1E2B36"/>
          <w:sz w:val="18"/>
        </w:rPr>
        <w:t xml:space="preserve">The clinical narrative is the only location of the full worker trace code for Ibrahim Bruns; the full code is not reproduced in this assessment. Its masked ending </w:t>
      </w:r>
      <w:r>
        <w:rPr>
          <w:rFonts w:ascii="Aptos" w:hAnsi="Aptos"/>
          <w:b/>
          <w:i w:val="0"/>
          <w:color w:val="1F5B60"/>
          <w:sz w:val="18"/>
        </w:rPr>
        <w:t>...4427</w:t>
      </w:r>
      <w:r>
        <w:rPr>
          <w:rFonts w:ascii="Aptos" w:hAnsi="Aptos"/>
          <w:b w:val="0"/>
          <w:i w:val="0"/>
          <w:color w:val="1E2B36"/>
          <w:sz w:val="18"/>
        </w:rPr>
        <w:t xml:space="preserve"> aligns with the laboratory client-linkage suffix, while Ibrahim Bruns aligns with the laboratory patient label I. Bruns. Both records identify the same HWS Annual Respiratory Surveillance Test collection on 14 May 2026. These source details substantiate the laboratory-entry match without reproducing the clinical narrative or unrelated health information.</w:t>
      </w:r>
    </w:p>
    <w:p>
      <w:pPr>
        <w:pStyle w:val="Assessmentheading"/>
        <w:keepNext/>
        <w:spacing w:before="160" w:after="60"/>
      </w:pPr>
      <w:r>
        <w:rPr>
          <w:rFonts w:ascii="Aptos" w:hAnsi="Aptos"/>
          <w:b/>
          <w:i w:val="0"/>
          <w:color w:val="1F5B60"/>
          <w:sz w:val="21"/>
        </w:rPr>
        <w:t>Evidence limit and conclusion</w:t>
      </w:r>
    </w:p>
    <w:p>
      <w:pPr>
        <w:spacing w:after="80"/>
      </w:pPr>
      <w:r>
        <w:rPr>
          <w:rFonts w:ascii="Aptos" w:hAnsi="Aptos"/>
          <w:b w:val="0"/>
          <w:i w:val="0"/>
          <w:color w:val="1E2B36"/>
          <w:sz w:val="18"/>
        </w:rPr>
        <w:t>The clinical extract contains no documented clinician review or interpretation and no documented applicable occupational disposition for this episode. The frozen laboratory snapshot has no clinician-review, fit-for-work, restriction, or occupational-disposition field. Those are limitations of the supplied frozen record set, not a finding that clinician review did not occur outside it.</w:t>
      </w:r>
    </w:p>
    <w:tbl>
      <w:tblPr>
        <w:tblW w:type="auto" w:w="0"/>
        <w:jc w:val="center"/>
        <w:tblLook w:firstColumn="1" w:firstRow="1" w:lastColumn="0" w:lastRow="0" w:noHBand="0" w:noVBand="1" w:val="04A0"/>
      </w:tblPr>
      <w:tblGrid>
        <w:gridCol w:w="10148"/>
      </w:tblGrid>
      <w:tr>
        <w:tc>
          <w:tcPr>
            <w:tcW w:type="dxa" w:w="10148"/>
            <w:shd w:fill="EAF1F3"/>
            <w:tcBorders>
              <w:top w:val="single" w:sz="8" w:color="1F5B60"/>
              <w:left w:val="single" w:sz="8" w:color="1F5B60"/>
              <w:bottom w:val="single" w:sz="8" w:color="1F5B60"/>
              <w:right w:val="single" w:sz="8" w:color="1F5B60"/>
            </w:tcBorders>
            <w:vAlign w:val="top"/>
            <w:tcMar>
              <w:top w:w="80" w:type="dxa"/>
              <w:start w:w="100" w:type="dxa"/>
              <w:bottom w:w="80" w:type="dxa"/>
              <w:end w:w="100" w:type="dxa"/>
            </w:tcMar>
          </w:tcPr>
          <w:p>
            <w:pPr>
              <w:spacing w:after="0" w:line="254" w:lineRule="auto"/>
            </w:pPr>
            <w:r/>
            <w:r>
              <w:rPr>
                <w:rFonts w:ascii="Aptos" w:hAnsi="Aptos"/>
                <w:b w:val="0"/>
                <w:i w:val="0"/>
                <w:color w:val="1E2B36"/>
                <w:sz w:val="18"/>
              </w:rPr>
            </w:r>
            <w:r>
              <w:rPr>
                <w:rFonts w:ascii="Aptos" w:hAnsi="Aptos"/>
                <w:b/>
                <w:i w:val="0"/>
                <w:color w:val="1F5B60"/>
                <w:sz w:val="20"/>
              </w:rPr>
              <w:t xml:space="preserve">Conclusion: INDETERMINATE. </w:t>
            </w:r>
            <w:r>
              <w:rPr>
                <w:rFonts w:ascii="Aptos" w:hAnsi="Aptos"/>
                <w:b w:val="0"/>
                <w:i w:val="0"/>
                <w:color w:val="1E2B36"/>
                <w:sz w:val="18"/>
              </w:rPr>
              <w:t>The documented collection and FINAL laboratory result establish two contract components for the matched episode. They cannot resolve the completion claim without documentation of the required clinician review and applicable occupational disposition; the frozen-record gap does not establish non-occurrence.</w:t>
            </w:r>
          </w:p>
        </w:tc>
      </w:tr>
    </w:tbl>
    <w:p>
      <w:pPr>
        <w:pStyle w:val="Small"/>
        <w:spacing w:before="100"/>
      </w:pPr>
      <w:r>
        <w:rPr>
          <w:rFonts w:ascii="Aptos" w:hAnsi="Aptos"/>
          <w:b w:val="0"/>
          <w:i w:val="0"/>
          <w:color w:val="526170"/>
          <w:sz w:val="15"/>
        </w:rPr>
        <w:t>Source trace: wheatcroft_hartsmere_surveillance_snapshot.pdf | Contract clause 7.3 | Clinical encounter OH-HW-260514-117 | Laboratory accession WCL-26-0514-8831 | Frozen through 17 May 2026, 18:00 UTC</w:t>
      </w:r>
    </w:p>
    <w:p>
      <w:pPr>
        <w:spacing w:after="0"/>
      </w:pPr>
    </w:p>
    <w:sectPr w:rsidR="00FC693F" w:rsidRPr="0006063C" w:rsidSect="00034616">
      <w:headerReference w:type="default" r:id="rId9"/>
      <w:footerReference w:type="default" r:id="rId10"/>
      <w:pgSz w:w="11906" w:h="16838"/>
      <w:pgMar w:top="822" w:right="879" w:bottom="822"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b w:val="0"/>
        <w:i w:val="0"/>
        <w:color w:val="526170"/>
        <w:sz w:val="15"/>
      </w:rPr>
      <w:t>Confidential | Revised factual compliance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auto"/>
      <w:pBdr>
        <w:bottom w:val="single" w:sz="4" w:space="3" w:color="C7D0D8"/>
      </w:pBdr>
    </w:pPr>
    <w:r>
      <w:rPr>
        <w:rFonts w:ascii="Aptos" w:hAnsi="Aptos"/>
        <w:b/>
        <w:i w:val="0"/>
        <w:color w:val="17324D"/>
        <w:sz w:val="16"/>
      </w:rPr>
      <w:t>WHEATCROFT ALLIANCE</w:t>
    </w:r>
    <w:r>
      <w:rPr>
        <w:rFonts w:ascii="Aptos" w:hAnsi="Aptos"/>
        <w:b w:val="0"/>
        <w:i w:val="0"/>
        <w:color w:val="526170"/>
        <w:sz w:val="16"/>
      </w:rPr>
      <w:t xml:space="preserve">   |   Hartsmere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1E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heading">
    <w:name w:val="Assessment heading"/>
    <w:basedOn w:val="Normal"/>
    <w:rPr>
      <w:rFonts w:ascii="Aptos Display" w:hAnsi="Aptos Display"/>
      <w:b/>
      <w:color w:val="1F5B60"/>
      <w:sz w:val="21"/>
    </w:rPr>
  </w:style>
  <w:style w:type="paragraph" w:customStyle="1" w:styleId="Small">
    <w:name w:val="Small"/>
    <w:basedOn w:val="Normal"/>
    <w:pPr>
      <w:spacing w:after="40" w:line="240" w:lineRule="auto"/>
    </w:pPr>
    <w:rPr>
      <w:rFonts w:ascii="Aptos" w:hAnsi="Aptos"/>
      <w:color w:val="5261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