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Tessington Heritage Archive</w:t>
        <w:br/>
        <w:t>Digitisation vendor recommendation</w:t>
      </w:r>
    </w:p>
    <w:p>
      <w:pPr>
        <w:jc w:val="center"/>
      </w:pPr>
      <w:r>
        <w:rPr>
          <w:i/>
          <w:color w:val="595959"/>
          <w:sz w:val="17"/>
        </w:rPr>
        <w:t>Procurement panel pack | 20 September 2025 deadline | evidence cut-off 30 June 2025</w:t>
      </w:r>
    </w:p>
    <w:p>
      <w:r>
        <w:rPr>
          <w:b/>
          <w:color w:val="9C0006"/>
          <w:sz w:val="24"/>
        </w:rPr>
        <w:t>Decision: appoint Thistledown Studios.</w:t>
      </w:r>
    </w:p>
    <w:p>
      <w:r>
        <w:t>The grant-funded collection is 1,400 tapes: 400 U-matic, 300 DAT, 350 1/4-inch open reel at 3.75 ips and 350 at 7.5 ips. Thistledown has detailed, dated operational confirmation for each required format and speed (E01–E04, 18 June 2025). That meets the same full-collection capability rule used in the comparison workbook; advertising, historical case-study and contingent claims are not treated as equivalent.</w:t>
      </w:r>
    </w:p>
    <w:p>
      <w:r>
        <w:rPr>
          <w:b/>
        </w:rPr>
        <w:t>Why this is defensible</w:t>
      </w:r>
    </w:p>
    <w:tbl>
      <w:tblPr>
        <w:tblStyle w:val="TableGrid"/>
        <w:tblW w:type="auto" w:w="0"/>
        <w:jc w:val="center"/>
        <w:tblLayout w:type="fixed"/>
        <w:tblLook w:firstColumn="1" w:firstRow="1" w:lastColumn="0" w:lastRow="0" w:noHBand="0" w:noVBand="1" w:val="04A0"/>
      </w:tblPr>
      <w:tblGrid>
        <w:gridCol w:w="1800"/>
        <w:gridCol w:w="8568"/>
      </w:tblGrid>
      <w:tr>
        <w:tc>
          <w:tcPr>
            <w:tcW w:type="dxa" w:w="5184"/>
            <w:shd w:fill="1F4E78"/>
          </w:tcPr>
          <w:p>
            <w:r>
              <w:rPr>
                <w:b/>
                <w:color w:val="FFFFFF"/>
              </w:rPr>
              <w:t>Panel test</w:t>
            </w:r>
          </w:p>
        </w:tc>
        <w:tc>
          <w:tcPr>
            <w:tcW w:type="dxa" w:w="5184"/>
            <w:shd w:fill="1F4E78"/>
          </w:tcPr>
          <w:p>
            <w:r>
              <w:rPr>
                <w:b/>
                <w:color w:val="FFFFFF"/>
              </w:rPr>
              <w:t>Evidence-based finding</w:t>
            </w:r>
          </w:p>
        </w:tc>
      </w:tr>
      <w:tr>
        <w:tc>
          <w:tcPr>
            <w:tcW w:type="dxa" w:w="1800"/>
            <w:vAlign w:val="top"/>
          </w:tcPr>
          <w:p>
            <w:r>
              <w:rPr>
                <w:b/>
              </w:rPr>
              <w:t>Capability</w:t>
            </w:r>
          </w:p>
        </w:tc>
        <w:tc>
          <w:tcPr>
            <w:tcW w:type="dxa" w:w="8568"/>
            <w:vAlign w:val="top"/>
          </w:tcPr>
          <w:p>
            <w:r>
              <w:t>Current U-matic, DAT and both reel speeds are each confirmed in the 18 June operations email. Northmere also states all four, but without serials, test file or reserved capacity; it is an evidenced comparator, not the recommendation.</w:t>
            </w:r>
          </w:p>
        </w:tc>
      </w:tr>
      <w:tr>
        <w:tc>
          <w:tcPr>
            <w:tcW w:type="dxa" w:w="1800"/>
            <w:vAlign w:val="top"/>
          </w:tcPr>
          <w:p>
            <w:r>
              <w:rPr>
                <w:b/>
              </w:rPr>
              <w:t>Cost</w:t>
            </w:r>
          </w:p>
        </w:tc>
        <w:tc>
          <w:tcPr>
            <w:tcW w:type="dxa" w:w="8568"/>
            <w:vAlign w:val="top"/>
          </w:tcPr>
          <w:p>
            <w:r>
              <w:t>The newer, scope-specific 24 June quotation is used: 400×£24 + 300×£19 + 350×£30 + 350×£35 = £38,050. The 15 January published sheet totals £35,200; both figures remain visible in the workbook rather than being silently reconciled.</w:t>
            </w:r>
          </w:p>
        </w:tc>
      </w:tr>
      <w:tr>
        <w:tc>
          <w:tcPr>
            <w:tcW w:type="dxa" w:w="1800"/>
            <w:vAlign w:val="top"/>
          </w:tcPr>
          <w:p>
            <w:r>
              <w:rPr>
                <w:b/>
              </w:rPr>
              <w:t>Timing</w:t>
            </w:r>
          </w:p>
        </w:tc>
        <w:tc>
          <w:tcPr>
            <w:tcW w:type="dxa" w:w="8568"/>
            <w:vAlign w:val="top"/>
          </w:tcPr>
          <w:p>
            <w:r>
              <w:t>Thistledown states 10 weeks for up to 1,500 tapes from receipt, condition dependent (E06), covering the 1,400-tape scope. This is a stated batch qualifier, not a converted per-item promise.</w:t>
            </w:r>
          </w:p>
        </w:tc>
      </w:tr>
      <w:tr>
        <w:tc>
          <w:tcPr>
            <w:tcW w:type="dxa" w:w="1800"/>
            <w:vAlign w:val="top"/>
          </w:tcPr>
          <w:p>
            <w:r>
              <w:rPr>
                <w:b/>
              </w:rPr>
              <w:t>Deliverables</w:t>
            </w:r>
          </w:p>
        </w:tc>
        <w:tc>
          <w:tcPr>
            <w:tcW w:type="dxa" w:w="8568"/>
            <w:vAlign w:val="top"/>
          </w:tcPr>
          <w:p>
            <w:r>
              <w:t>The quotation specifies BWF WAV 24-bit/96 kHz, a 1080p H.264 access copy, CSV metadata and checksum manifest. These are more specific than Thornbury’s basic CSV/16-bit offer; Northmere’s FFV1/WAV/CSV is recorded for comparison.</w:t>
            </w:r>
          </w:p>
        </w:tc>
      </w:tr>
      <w:tr>
        <w:tc>
          <w:tcPr>
            <w:tcW w:type="dxa" w:w="1800"/>
            <w:vAlign w:val="top"/>
          </w:tcPr>
          <w:p>
            <w:r>
              <w:rPr>
                <w:b/>
              </w:rPr>
              <w:t>Confidence</w:t>
            </w:r>
          </w:p>
        </w:tc>
        <w:tc>
          <w:tcPr>
            <w:tcW w:type="dxa" w:w="8568"/>
            <w:vAlign w:val="top"/>
          </w:tcPr>
          <w:p>
            <w:r>
              <w:t>The dated operations evidence is stronger than a web advertisement or the Amberline 2023 case study. Amberline’s named VO-9800 was sold in November 2024 (E13), so the case study cannot prove present U-matic access.</w:t>
            </w:r>
          </w:p>
        </w:tc>
      </w:tr>
    </w:tbl>
    <w:p>
      <w:r>
        <w:rPr>
          <w:b/>
        </w:rPr>
        <w:t xml:space="preserve">Shortlist tension and fallback. </w:t>
      </w:r>
      <w:r>
        <w:t>Ilse’s promise to include every bureau advertising all three formats is acknowledged by retaining Thornbury and Amberline in the comparison, but neither is presented as full-capability: Thornbury’s 7.5 ips evidence is advertising only, while Amberline’s equipment evidence is stale. Because fresh tests or confirmations cannot be obtained from every candidate before the panel, the defensible fallback is to use the strongest dated packet evidence as an interim decision basis. It limits confidence to what the documents establish; it does not prove every tape will play or reserve capacity.</w:t>
      </w:r>
    </w:p>
    <w:p>
      <w:r>
        <w:rPr>
          <w:b/>
        </w:rPr>
        <w:t xml:space="preserve">Principal residual risk. </w:t>
      </w:r>
      <w:r>
        <w:t>Thistledown’s £38,050 quotation conflicts with its £35,200 published sheet and excludes severe mould/baking and carrier return; its 10-week statement is condition dependent and no test transfer was supplied. The quotation is nevertheless the selected estimate because it is newer and expressly covers up to 1,500 tapes.</w:t>
      </w:r>
    </w:p>
    <w:p>
      <w:pPr>
        <w:spacing w:before="60"/>
      </w:pPr>
      <w:r>
        <w:rPr>
          <w:b/>
          <w:color w:val="1F4E79"/>
        </w:rPr>
        <w:t>Recommendation: appoint Thistledown Studios for the 1,400-tape collection at the estimated quotation basis of £38,050 and stated 10-week batch turnaround, subject to the documented evidence limits.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by Callum Fontaine, Audio and Video Technician | Internal procurement panel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