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oldTitle"/>
        <w:spacing w:after="20"/>
        <w:jc w:val="left"/>
      </w:pPr>
      <w:r>
        <w:rPr>
          <w:rFonts w:ascii="Aptos" w:hAnsi="Aptos" w:eastAsia="Aptos"/>
          <w:b/>
          <w:i w:val="0"/>
          <w:color w:val="17324D"/>
          <w:sz w:val="36"/>
        </w:rPr>
        <w:t>Cross-Jurisdiction Complaints and Records Policy</w:t>
      </w:r>
    </w:p>
    <w:p>
      <w:pPr>
        <w:pStyle w:val="GoldSubtitle"/>
        <w:spacing w:after="100"/>
      </w:pPr>
      <w:r>
        <w:rPr>
          <w:rFonts w:ascii="Aptos" w:hAnsi="Aptos" w:eastAsia="Aptos"/>
          <w:b w:val="0"/>
          <w:i w:val="0"/>
          <w:color w:val="66737F"/>
          <w:sz w:val="18"/>
        </w:rPr>
        <w:t>England and Wales and Ontario | Public policy | Legal position current as at 30 September 2025</w:t>
      </w:r>
    </w:p>
    <w:tbl>
      <w:tblPr>
        <w:tblW w:type="auto" w:w="0"/>
        <w:jc w:val="center"/>
        <w:tblLayout w:type="fixed"/>
        <w:tblLook w:firstColumn="1" w:firstRow="1" w:lastColumn="0" w:lastRow="0" w:noHBand="0" w:noVBand="1" w:val="04A0"/>
      </w:tblPr>
      <w:tblGrid>
        <w:gridCol w:w="10297"/>
      </w:tblGrid>
      <w:tr>
        <w:tc>
          <w:tcPr>
            <w:tcW w:type="dxa" w:w="10252"/>
            <w:tcMar>
              <w:top w:w="75" w:type="dxa"/>
              <w:start w:w="105" w:type="dxa"/>
              <w:bottom w:w="75" w:type="dxa"/>
              <w:end w:w="105" w:type="dxa"/>
            </w:tcMar>
            <w:tcBorders>
              <w:top w:val="single" w:sz="5" w:space="0" w:color="A8C8C8"/>
              <w:left w:val="single" w:sz="5" w:space="0" w:color="A8C8C8"/>
              <w:bottom w:val="single" w:sz="5" w:space="0" w:color="A8C8C8"/>
              <w:right w:val="single" w:sz="5" w:space="0" w:color="A8C8C8"/>
            </w:tcBorders>
            <w:shd w:fill="E8F3F2" w:val="clear"/>
          </w:tcPr>
          <w:p>
            <w:pPr>
              <w:spacing w:after="0" w:line="240" w:lineRule="auto"/>
            </w:pPr>
            <w:r>
              <w:rPr>
                <w:rFonts w:ascii="Aptos" w:hAnsi="Aptos" w:eastAsia="Aptos"/>
                <w:b/>
                <w:i w:val="0"/>
                <w:color w:val="17324D"/>
                <w:sz w:val="17"/>
              </w:rPr>
              <w:t xml:space="preserve">SCOPE  </w:t>
            </w:r>
            <w:r>
              <w:rPr>
                <w:rFonts w:ascii="Aptos" w:hAnsi="Aptos" w:eastAsia="Aptos"/>
                <w:b w:val="0"/>
                <w:i w:val="0"/>
                <w:color w:val="20262B"/>
                <w:sz w:val="17"/>
              </w:rPr>
              <w:t>This policy applies only to complaint handling and complaint-record controls in England and Wales and Ontario. It does not state the law of any other jurisdiction. It applies to the integrated function, including transferred records, without changing any existing confidentiality, privilege, purpose restriction, or hold.</w:t>
            </w:r>
          </w:p>
        </w:tc>
      </w:tr>
    </w:tbl>
    <w:p>
      <w:pPr>
        <w:spacing w:after="0" w:line="240" w:lineRule="auto"/>
      </w:pPr>
    </w:p>
    <w:p>
      <w:pPr>
        <w:spacing w:before="100" w:after="32" w:line="240" w:lineRule="auto"/>
        <w:keepNext/>
      </w:pPr>
      <w:r>
        <w:rPr>
          <w:rFonts w:ascii="Aptos" w:hAnsi="Aptos" w:eastAsia="Aptos"/>
          <w:b/>
          <w:i w:val="0"/>
          <w:color w:val="17324D"/>
          <w:sz w:val="24"/>
        </w:rPr>
        <w:t>1. Definitions and who may use the process</w:t>
      </w:r>
    </w:p>
    <w:tbl>
      <w:tblPr>
        <w:tblW w:type="auto" w:w="0"/>
        <w:jc w:val="center"/>
        <w:tblLayout w:type="fixed"/>
        <w:tblLook w:firstColumn="1" w:firstRow="1" w:lastColumn="0" w:lastRow="0" w:noHBand="0" w:noVBand="1" w:val="04A0"/>
      </w:tblPr>
      <w:tblGrid>
        <w:gridCol w:w="5148"/>
        <w:gridCol w:w="5148"/>
      </w:tblGrid>
      <w:tr>
        <w:trPr>
          <w:tblHeader w:val="true"/>
        </w:trPr>
        <w:tc>
          <w:tcPr>
            <w:tcW w:type="dxa" w:w="2088"/>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Term</w:t>
            </w:r>
          </w:p>
        </w:tc>
        <w:tc>
          <w:tcPr>
            <w:tcW w:type="dxa" w:w="8164"/>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Meaning and practical effect</w:t>
            </w:r>
          </w:p>
        </w:tc>
      </w:tr>
      <w:tr>
        <w:trPr>
          <w:cantSplit/>
        </w:trPr>
        <w:tc>
          <w:tcPr>
            <w:tcW w:type="dxa" w:w="208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Client</w:t>
            </w:r>
          </w:p>
        </w:tc>
        <w:tc>
          <w:tcPr>
            <w:tcW w:type="dxa" w:w="8164"/>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The person or entity that instructs Ballantry Practice to provide legal services. A beneficiary, family member, employee, representative, or other service recipient is not automatically a client unless that person or entity is the instructing party.</w:t>
            </w:r>
          </w:p>
        </w:tc>
      </w:tr>
      <w:tr>
        <w:trPr>
          <w:cantSplit/>
        </w:trPr>
        <w:tc>
          <w:tcPr>
            <w:tcW w:type="dxa" w:w="208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Other complainant</w:t>
            </w:r>
          </w:p>
        </w:tc>
        <w:tc>
          <w:tcPr>
            <w:tcW w:type="dxa" w:w="8164"/>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A person who raises a concern but is not the client. They may use the intake route and may be able to use an external route under its own rules, but this does not give access to a client's confidential or privileged information.</w:t>
            </w:r>
          </w:p>
        </w:tc>
      </w:tr>
      <w:tr>
        <w:trPr>
          <w:cantSplit/>
        </w:trPr>
        <w:tc>
          <w:tcPr>
            <w:tcW w:type="dxa" w:w="208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Regulator; group entity; service provider</w:t>
            </w:r>
          </w:p>
        </w:tc>
        <w:tc>
          <w:tcPr>
            <w:tcW w:type="dxa" w:w="8164"/>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A regulator acts under its statutory or professional remit. A Ballantry or Candlewick group entity receives no automatic file access. A service provider may handle material only for a defined service under written safeguards and continuing practice accountability.</w:t>
            </w:r>
          </w:p>
        </w:tc>
      </w:tr>
    </w:tbl>
    <w:p>
      <w:pPr>
        <w:spacing w:after="0" w:line="240" w:lineRule="auto"/>
      </w:pPr>
    </w:p>
    <w:p>
      <w:pPr>
        <w:spacing w:before="100" w:after="32" w:line="240" w:lineRule="auto"/>
        <w:keepNext/>
      </w:pPr>
      <w:r>
        <w:rPr>
          <w:rFonts w:ascii="Aptos" w:hAnsi="Aptos" w:eastAsia="Aptos"/>
          <w:b/>
          <w:i w:val="0"/>
          <w:color w:val="17324D"/>
          <w:sz w:val="24"/>
        </w:rPr>
        <w:t>2. Making a complaint</w:t>
      </w:r>
    </w:p>
    <w:p>
      <w:pPr>
        <w:spacing w:after="40" w:line="240" w:lineRule="auto"/>
        <w:keepLines/>
      </w:pPr>
      <w:r>
        <w:rPr>
          <w:rFonts w:ascii="Aptos" w:hAnsi="Aptos" w:eastAsia="Aptos"/>
          <w:b w:val="0"/>
          <w:i w:val="0"/>
          <w:color w:val="20262B"/>
          <w:sz w:val="17"/>
        </w:rPr>
        <w:t>A complaint may be raised with the Complaints Intake Team through the practice's published complaints contact route, in writing, by telephone, or in another reasonable accessible format. Tell us how to contact you, what happened, the relevant matter if known, and the outcome sought; we will not reject a concern merely because every detail is not available.</w:t>
      </w:r>
    </w:p>
    <w:p>
      <w:pPr>
        <w:spacing w:after="40" w:line="240" w:lineRule="auto"/>
        <w:keepLines/>
      </w:pPr>
      <w:r>
        <w:rPr>
          <w:rFonts w:ascii="Aptos" w:hAnsi="Aptos" w:eastAsia="Aptos"/>
          <w:b w:val="0"/>
          <w:i w:val="0"/>
          <w:color w:val="20262B"/>
          <w:sz w:val="17"/>
        </w:rPr>
        <w:t>At receipt, the team records the jurisdiction, complainant status, key dates, the material needed to investigate, and any restriction or preservation flag. The team acknowledges and routes the concern, keeps the person informed, and does not decide merits or disclose a file outside the controls in this policy.</w:t>
      </w:r>
    </w:p>
    <w:p>
      <w:pPr>
        <w:spacing w:after="40" w:line="240" w:lineRule="auto"/>
        <w:keepLines/>
      </w:pPr>
      <w:r>
        <w:rPr>
          <w:rFonts w:ascii="Aptos" w:hAnsi="Aptos" w:eastAsia="Aptos"/>
          <w:b w:val="0"/>
          <w:i w:val="0"/>
          <w:color w:val="20262B"/>
          <w:sz w:val="17"/>
        </w:rPr>
        <w:t>A client receives, in writing at engagement and on request, the right to complain, how and to whom to complain within the practice, and the relevant external routes. Accessible communication will be used where reasonably required.</w:t>
      </w:r>
    </w:p>
    <w:p>
      <w:pPr>
        <w:spacing w:before="100" w:after="32" w:line="240" w:lineRule="auto"/>
        <w:keepNext/>
      </w:pPr>
      <w:r>
        <w:rPr>
          <w:rFonts w:ascii="Aptos" w:hAnsi="Aptos" w:eastAsia="Aptos"/>
          <w:b/>
          <w:i w:val="0"/>
          <w:color w:val="17324D"/>
          <w:sz w:val="24"/>
        </w:rPr>
        <w:t>3. England and Wales</w:t>
      </w:r>
    </w:p>
    <w:p>
      <w:pPr>
        <w:spacing w:after="40" w:line="240" w:lineRule="auto"/>
        <w:keepLines/>
      </w:pPr>
      <w:r>
        <w:rPr>
          <w:rFonts w:ascii="Aptos" w:hAnsi="Aptos" w:eastAsia="Aptos"/>
          <w:b/>
          <w:i w:val="0"/>
          <w:color w:val="20262B"/>
          <w:sz w:val="17"/>
        </w:rPr>
        <w:t>We handle complaints promptly, fairly, and free of charge.</w:t>
      </w:r>
    </w:p>
    <w:p>
      <w:pPr>
        <w:spacing w:after="40" w:line="240" w:lineRule="auto"/>
        <w:keepLines/>
      </w:pPr>
      <w:r>
        <w:rPr>
          <w:rFonts w:ascii="Aptos" w:hAnsi="Aptos" w:eastAsia="Aptos"/>
          <w:b w:val="0"/>
          <w:i w:val="0"/>
          <w:color w:val="20262B"/>
          <w:sz w:val="17"/>
        </w:rPr>
        <w:t>A service concern is considered through our procedure first. Where it remains unresolved after eight weeks, we provide written information about the Legal Ombudsman route. The Legal Ombudsman deals with eligible service complaints; the Solicitors Regulation Authority (SRA) regulates professional conduct. A concern about conduct should be directed or reported to the SRA rather than treated solely as a Legal Ombudsman service complaint. Some concerns may require both routes.</w:t>
      </w:r>
    </w:p>
    <w:p>
      <w:pPr>
        <w:spacing w:after="40" w:line="240" w:lineRule="auto"/>
        <w:keepLines/>
      </w:pPr>
      <w:r>
        <w:rPr>
          <w:rFonts w:ascii="Aptos" w:hAnsi="Aptos" w:eastAsia="Aptos"/>
          <w:b w:val="0"/>
          <w:i w:val="0"/>
          <w:color w:val="20262B"/>
          <w:sz w:val="17"/>
        </w:rPr>
        <w:t>For a matter within the Legal Ombudsman Scheme Rules, the current outer rule is generally one year from the act or omission, or one year from when the complainant should reasonably have known there was cause to complain. The complaint must also generally be made within six months of the practice's compliant final response. The Legal Ombudsman may extend time where it is fair and reasonable. We provide the applicable route information in the final response; historical matters are assessed under the rule applicable at the relevant date.</w:t>
      </w:r>
    </w:p>
    <w:p>
      <w:pPr>
        <w:spacing w:after="40" w:line="240" w:lineRule="auto"/>
        <w:keepLines/>
      </w:pPr>
      <w:r>
        <w:rPr>
          <w:rFonts w:ascii="Aptos" w:hAnsi="Aptos" w:eastAsia="Aptos"/>
          <w:b w:val="0"/>
          <w:i w:val="0"/>
          <w:color w:val="20262B"/>
          <w:sz w:val="17"/>
        </w:rPr>
        <w:t>We keep current and former clients' affairs confidential unless disclosure is required or permitted by law or the client consents. A concern from another complainant does not change that duty. A lawful regulatory request is assessed for scope, authority, and necessity before material is released.</w:t>
      </w:r>
    </w:p>
    <w:p>
      <w:pPr>
        <w:spacing w:before="100" w:after="32" w:line="240" w:lineRule="auto"/>
        <w:keepNext/>
      </w:pPr>
      <w:r>
        <w:rPr>
          <w:rFonts w:ascii="Aptos" w:hAnsi="Aptos" w:eastAsia="Aptos"/>
          <w:b/>
          <w:i w:val="0"/>
          <w:color w:val="17324D"/>
          <w:sz w:val="24"/>
        </w:rPr>
        <w:t>4. Ontario</w:t>
      </w:r>
    </w:p>
    <w:p>
      <w:pPr>
        <w:spacing w:after="40" w:line="240" w:lineRule="auto"/>
        <w:keepLines/>
      </w:pPr>
      <w:r>
        <w:rPr>
          <w:rFonts w:ascii="Aptos" w:hAnsi="Aptos" w:eastAsia="Aptos"/>
          <w:b w:val="0"/>
          <w:i w:val="0"/>
          <w:color w:val="20262B"/>
          <w:sz w:val="17"/>
        </w:rPr>
        <w:t>A lawyer has a continuing duty to hold client information in strict confidence unless authorised by the client or otherwise permitted or required by law or professional rules. Any person, including a person who is not a client, may raise a concern with the Law Society of Ontario; that route does not confer a right to another person's confidential file.</w:t>
      </w:r>
    </w:p>
    <w:p>
      <w:pPr>
        <w:spacing w:after="40" w:line="240" w:lineRule="auto"/>
        <w:keepLines/>
      </w:pPr>
      <w:r>
        <w:rPr>
          <w:rFonts w:ascii="Aptos" w:hAnsi="Aptos" w:eastAsia="Aptos"/>
          <w:b w:val="0"/>
          <w:i w:val="0"/>
          <w:color w:val="20262B"/>
          <w:sz w:val="17"/>
        </w:rPr>
        <w:t>PIPEDA applies to personal information handled in commercial activities in Ontario, subject to its statutory scope and exceptions. The practice remains accountable for complaint information. We do not infer consent from silence, from an old retainer, or merely from the existence of a complaint. A disclosure without consent requires an applicable statutory or professional exception and is limited to what is necessary for its stated purpose.</w:t>
      </w:r>
    </w:p>
    <w:p>
      <w:pPr>
        <w:spacing w:after="40" w:line="240" w:lineRule="auto"/>
        <w:keepLines/>
      </w:pPr>
      <w:r>
        <w:rPr>
          <w:rFonts w:ascii="Aptos" w:hAnsi="Aptos" w:eastAsia="Aptos"/>
          <w:b w:val="0"/>
          <w:i w:val="0"/>
          <w:color w:val="20262B"/>
          <w:sz w:val="17"/>
        </w:rPr>
        <w:t>We cooperate with lawful Law Society of Ontario processes. That duty is not authority to publish a complaint record or circulate it freely within the combined group. Access and correction requests are considered case by case, with protection for solicitor-client privilege, confidential third-party information, and other lawful refusal grounds.</w:t>
      </w:r>
    </w:p>
    <w:p>
      <w:pPr>
        <w:spacing w:before="100" w:after="32" w:line="240" w:lineRule="auto"/>
        <w:keepNext/>
      </w:pPr>
      <w:r>
        <w:rPr>
          <w:rFonts w:ascii="Aptos" w:hAnsi="Aptos" w:eastAsia="Aptos"/>
          <w:b/>
          <w:i w:val="0"/>
          <w:color w:val="17324D"/>
          <w:sz w:val="24"/>
        </w:rPr>
        <w:t>5. Information, sharing, and access</w:t>
      </w:r>
    </w:p>
    <w:tbl>
      <w:tblPr>
        <w:tblW w:type="auto" w:w="0"/>
        <w:jc w:val="center"/>
        <w:tblLayout w:type="fixed"/>
        <w:tblLook w:firstColumn="1" w:firstRow="1" w:lastColumn="0" w:lastRow="0" w:noHBand="0" w:noVBand="1" w:val="04A0"/>
      </w:tblPr>
      <w:tblGrid>
        <w:gridCol w:w="5148"/>
        <w:gridCol w:w="5148"/>
      </w:tblGrid>
      <w:tr>
        <w:trPr>
          <w:tblHeader w:val="true"/>
        </w:trPr>
        <w:tc>
          <w:tcPr>
            <w:tcW w:type="dxa" w:w="2188"/>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Control</w:t>
            </w:r>
          </w:p>
        </w:tc>
        <w:tc>
          <w:tcPr>
            <w:tcW w:type="dxa" w:w="8063"/>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Public commitment</w:t>
            </w:r>
          </w:p>
        </w:tc>
      </w:tr>
      <w:tr>
        <w:trPr>
          <w:cantSplit/>
        </w:trPr>
        <w:tc>
          <w:tcPr>
            <w:tcW w:type="dxa" w:w="218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Purpose and minimisation</w:t>
            </w:r>
          </w:p>
        </w:tc>
        <w:tc>
          <w:tcPr>
            <w:tcW w:type="dxa" w:w="8063"/>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For United Kingdom complaint information, processing is for specified purposes: receiving, investigating, responding, meeting legal or professional obligations, handling a claim, and service assurance. We use an appropriate UK GDPR lawful basis, such as legal obligation or legitimate interests; consent is not the universal basis. We collect and disclose only complaint information that is adequate, relevant, and limited to what is necessary.</w:t>
            </w:r>
          </w:p>
        </w:tc>
      </w:tr>
      <w:tr>
        <w:trPr>
          <w:cantSplit/>
        </w:trPr>
        <w:tc>
          <w:tcPr>
            <w:tcW w:type="dxa" w:w="218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Sensitive material and requests</w:t>
            </w:r>
          </w:p>
        </w:tc>
        <w:tc>
          <w:tcPr>
            <w:tcW w:type="dxa" w:w="8063"/>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Health, equality, criminal-offence, or similarly sensitive complaint material may require an additional legal condition and tighter handling. We verify identity and consider access or correction requests without promising unrestricted disclosure of privileged material, another person's information, or material covered by an applicable statutory restriction. We may redact, withhold, or explain a lawful refusal.</w:t>
            </w:r>
          </w:p>
        </w:tc>
      </w:tr>
      <w:tr>
        <w:trPr>
          <w:cantSplit/>
        </w:trPr>
        <w:tc>
          <w:tcPr>
            <w:tcW w:type="dxa" w:w="218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Recipients and group access</w:t>
            </w:r>
          </w:p>
        </w:tc>
        <w:tc>
          <w:tcPr>
            <w:tcW w:type="dxa" w:w="8063"/>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Disclosure to the Legal Ombudsman, SRA, Law Society of Ontario, courts, insurers, or another authorised recipient needs a valid legal or professional basis and only the information reasonably necessary for that purpose. Ballantry and Candlewick entities are not a single unrestricted audience: access is role-based, need-to-know, and securely escalated before proposed sharing.</w:t>
            </w:r>
          </w:p>
        </w:tc>
      </w:tr>
      <w:tr>
        <w:trPr>
          <w:cantSplit/>
        </w:trPr>
        <w:tc>
          <w:tcPr>
            <w:tcW w:type="dxa" w:w="218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Service providers and systems</w:t>
            </w:r>
          </w:p>
        </w:tc>
        <w:tc>
          <w:tcPr>
            <w:tcW w:type="dxa" w:w="8063"/>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A service provider or cross-border system may receive purpose-limited access only under contractual safeguards, appropriate security, and continuing practice accountability. Transfer or integration does not extinguish confidentiality, privilege, purpose restrictions, or holds.</w:t>
            </w:r>
          </w:p>
        </w:tc>
      </w:tr>
    </w:tbl>
    <w:p>
      <w:pPr>
        <w:spacing w:after="0" w:line="240" w:lineRule="auto"/>
      </w:pPr>
    </w:p>
    <w:p>
      <w:pPr>
        <w:spacing w:before="100" w:after="32" w:line="240" w:lineRule="auto"/>
        <w:keepNext/>
      </w:pPr>
      <w:r>
        <w:rPr>
          <w:rFonts w:ascii="Aptos" w:hAnsi="Aptos" w:eastAsia="Aptos"/>
          <w:b/>
          <w:i w:val="0"/>
          <w:color w:val="17324D"/>
          <w:sz w:val="24"/>
        </w:rPr>
        <w:t>6. Retention, preservation, and disposal</w:t>
      </w:r>
    </w:p>
    <w:p>
      <w:pPr>
        <w:spacing w:after="40" w:line="240" w:lineRule="auto"/>
        <w:keepLines/>
      </w:pPr>
      <w:r>
        <w:rPr>
          <w:rFonts w:ascii="Aptos" w:hAnsi="Aptos" w:eastAsia="Aptos"/>
          <w:b w:val="0"/>
          <w:i w:val="0"/>
          <w:color w:val="20262B"/>
          <w:sz w:val="17"/>
        </w:rPr>
        <w:t>There is no universal seven-year period running from complaint opening, and no single retention period governs every complaint-record category in both jurisdictions. We classify material by jurisdiction, record category, purpose, governing minimum period, trigger date, limitation or insurance need, active process, and disposition or review point. Depending on category, a trigger may be completion, creation, the end of an applicable fiscal period, or documented release of a hold. Complaint closure is not the destruction trigger for every embedded record category.</w:t>
      </w:r>
    </w:p>
    <w:tbl>
      <w:tblPr>
        <w:tblW w:type="auto" w:w="0"/>
        <w:jc w:val="center"/>
        <w:tblLayout w:type="fixed"/>
        <w:tblLook w:firstColumn="1" w:firstRow="1" w:lastColumn="0" w:lastRow="0" w:noHBand="0" w:noVBand="1" w:val="04A0"/>
      </w:tblPr>
      <w:tblGrid>
        <w:gridCol w:w="5148"/>
        <w:gridCol w:w="5148"/>
      </w:tblGrid>
      <w:tr>
        <w:trPr>
          <w:tblHeader w:val="true"/>
        </w:trPr>
        <w:tc>
          <w:tcPr>
            <w:tcW w:type="dxa" w:w="3311"/>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Record category</w:t>
            </w:r>
          </w:p>
        </w:tc>
        <w:tc>
          <w:tcPr>
            <w:tcW w:type="dxa" w:w="6940"/>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Retention rule</w:t>
            </w:r>
          </w:p>
        </w:tc>
      </w:tr>
      <w:tr>
        <w:trPr>
          <w:cantSplit/>
        </w:trPr>
        <w:tc>
          <w:tcPr>
            <w:tcW w:type="dxa" w:w="3311"/>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General complaint material</w:t>
            </w:r>
          </w:p>
        </w:tc>
        <w:tc>
          <w:tcPr>
            <w:tcW w:type="dxa" w:w="694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Personal data is not retained longer than necessary for the identified purpose, subject to applicable duties and holds. In Ontario, personal information is kept only as long as necessary for identified purposes and is securely destroyed, erased, or anonymised when no longer required, subject to other record duties and holds.</w:t>
            </w:r>
          </w:p>
        </w:tc>
      </w:tr>
      <w:tr>
        <w:trPr>
          <w:cantSplit/>
        </w:trPr>
        <w:tc>
          <w:tcPr>
            <w:tcW w:type="dxa" w:w="3311"/>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Ontario prescribed client-identification and verification records</w:t>
            </w:r>
          </w:p>
        </w:tc>
        <w:tc>
          <w:tcPr>
            <w:tcW w:type="dxa" w:w="6940"/>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Minimum six years following completion. This is a category-specific, completion-based rule; it is not a rule for all complaint records.</w:t>
            </w:r>
          </w:p>
        </w:tc>
      </w:tr>
      <w:tr>
        <w:trPr>
          <w:cantSplit/>
        </w:trPr>
        <w:tc>
          <w:tcPr>
            <w:tcW w:type="dxa" w:w="3311"/>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Ontario prescribed financial or trust-accounting records</w:t>
            </w:r>
          </w:p>
        </w:tc>
        <w:tc>
          <w:tcPr>
            <w:tcW w:type="dxa" w:w="694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Separate minimum ten-year treatment, generally measured from the end of the applicable fiscal period. It is not displaced by complaint closure or the identification-record rule.</w:t>
            </w:r>
          </w:p>
        </w:tc>
      </w:tr>
    </w:tbl>
    <w:p>
      <w:pPr>
        <w:spacing w:after="0" w:line="240" w:lineRule="auto"/>
      </w:pPr>
    </w:p>
    <w:p>
      <w:pPr>
        <w:spacing w:after="40" w:line="240" w:lineRule="auto"/>
        <w:keepLines/>
      </w:pPr>
      <w:r>
        <w:rPr>
          <w:rFonts w:ascii="Aptos" w:hAnsi="Aptos" w:eastAsia="Aptos"/>
          <w:b w:val="0"/>
          <w:i w:val="0"/>
          <w:color w:val="20262B"/>
          <w:sz w:val="17"/>
        </w:rPr>
        <w:t>Legal holds, preservation notices, active proceedings, investigations, and reasonably anticipated claims suspend ordinary destruction until formally released. Where a legacy classification, consent, closure status, or governing date cannot be verified, we apply restricted preservation and escalation, not assumed disclosure or routine destruction. Any disposal must be authorised and recorded with what was destroyed or anonymised, the rule applied, when it occurred, and who authorised it.</w:t>
      </w:r>
    </w:p>
    <w:p>
      <w:pPr>
        <w:spacing w:before="100" w:after="32" w:line="240" w:lineRule="auto"/>
        <w:keepNext/>
      </w:pPr>
      <w:r>
        <w:rPr>
          <w:rFonts w:ascii="Aptos" w:hAnsi="Aptos" w:eastAsia="Aptos"/>
          <w:b/>
          <w:i w:val="0"/>
          <w:color w:val="17324D"/>
          <w:sz w:val="24"/>
        </w:rPr>
        <w:t>7. Frontline controls</w:t>
      </w:r>
    </w:p>
    <w:tbl>
      <w:tblPr>
        <w:tblW w:type="auto" w:w="0"/>
        <w:jc w:val="center"/>
        <w:tblLayout w:type="fixed"/>
        <w:tblLook w:firstColumn="1" w:firstRow="1" w:lastColumn="0" w:lastRow="0" w:noHBand="0" w:noVBand="1" w:val="04A0"/>
      </w:tblPr>
      <w:tblGrid>
        <w:gridCol w:w="3432"/>
        <w:gridCol w:w="3432"/>
        <w:gridCol w:w="3432"/>
      </w:tblGrid>
      <w:tr>
        <w:trPr>
          <w:tblHeader w:val="true"/>
        </w:trPr>
        <w:tc>
          <w:tcPr>
            <w:tcW w:type="dxa" w:w="1699"/>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When</w:t>
            </w:r>
          </w:p>
        </w:tc>
        <w:tc>
          <w:tcPr>
            <w:tcW w:type="dxa" w:w="2520"/>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Owner</w:t>
            </w:r>
          </w:p>
        </w:tc>
        <w:tc>
          <w:tcPr>
            <w:tcW w:type="dxa" w:w="6033"/>
            <w:shd w:fill="167C80"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Required action</w:t>
            </w:r>
          </w:p>
        </w:tc>
      </w:tr>
      <w:tr>
        <w:trPr>
          <w:cantSplit/>
        </w:trPr>
        <w:tc>
          <w:tcPr>
            <w:tcW w:type="dxa" w:w="1699"/>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On receipt</w:t>
            </w:r>
          </w:p>
        </w:tc>
        <w:tc>
          <w:tcPr>
            <w:tcW w:type="dxa" w:w="252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Complaints Intake Team</w:t>
            </w:r>
          </w:p>
        </w:tc>
        <w:tc>
          <w:tcPr>
            <w:tcW w:type="dxa" w:w="6033"/>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Record the minimum needed for routing; identify jurisdiction and the status of the person raising the concern; restrict the file.</w:t>
            </w:r>
          </w:p>
        </w:tc>
      </w:tr>
      <w:tr>
        <w:trPr>
          <w:cantSplit/>
        </w:trPr>
        <w:tc>
          <w:tcPr>
            <w:tcW w:type="dxa" w:w="1699"/>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Before disclosure or destruction</w:t>
            </w:r>
          </w:p>
        </w:tc>
        <w:tc>
          <w:tcPr>
            <w:tcW w:type="dxa" w:w="2520"/>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Regulatory lawyer, privacy lead, and records owner</w:t>
            </w:r>
          </w:p>
        </w:tc>
        <w:tc>
          <w:tcPr>
            <w:tcW w:type="dxa" w:w="6033"/>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Verify authority, necessity, category, trigger, privilege/confidentiality, and any hold. Escalate uncertainty before release or disposal.</w:t>
            </w:r>
          </w:p>
        </w:tc>
      </w:tr>
      <w:tr>
        <w:trPr>
          <w:cantSplit/>
        </w:trPr>
        <w:tc>
          <w:tcPr>
            <w:tcW w:type="dxa" w:w="1699"/>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Hold release and review</w:t>
            </w:r>
          </w:p>
        </w:tc>
        <w:tc>
          <w:tcPr>
            <w:tcW w:type="dxa" w:w="252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Litigation counsel; then records owner</w:t>
            </w:r>
          </w:p>
        </w:tc>
        <w:tc>
          <w:tcPr>
            <w:tcW w:type="dxa" w:w="6033"/>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Only a documented formal release ends a hold. Review this integrated policy and record schedule at least annually and before a material legal or regulatory change.</w:t>
            </w:r>
          </w:p>
        </w:tc>
      </w:tr>
    </w:tbl>
    <w:p>
      <w:pPr>
        <w:spacing w:after="0" w:line="240" w:lineRule="auto"/>
      </w:pPr>
    </w:p>
    <w:p>
      <w:pPr>
        <w:pageBreakBefore/>
        <w:spacing w:after="20"/>
      </w:pPr>
      <w:r>
        <w:rPr>
          <w:rFonts w:ascii="Aptos" w:hAnsi="Aptos" w:eastAsia="Aptos"/>
          <w:b/>
          <w:i w:val="0"/>
          <w:color w:val="7A2E0E"/>
          <w:sz w:val="31"/>
        </w:rPr>
        <w:t>INTERNAL APPROVAL NOTE AND CONTROLLED ANNEX</w:t>
      </w:r>
    </w:p>
    <w:p>
      <w:pPr>
        <w:spacing w:after="80"/>
      </w:pPr>
      <w:r>
        <w:rPr>
          <w:rFonts w:ascii="Aptos" w:hAnsi="Aptos" w:eastAsia="Aptos"/>
          <w:b w:val="0"/>
          <w:i/>
          <w:color w:val="66737F"/>
          <w:sz w:val="17"/>
        </w:rPr>
        <w:t>Not public policy. Restricted to publication approvers, intake leadership, records, privacy, and regulatory legal teams.</w:t>
      </w:r>
    </w:p>
    <w:tbl>
      <w:tblPr>
        <w:tblW w:type="auto" w:w="0"/>
        <w:jc w:val="center"/>
        <w:tblLayout w:type="fixed"/>
        <w:tblLook w:firstColumn="1" w:firstRow="1" w:lastColumn="0" w:lastRow="0" w:noHBand="0" w:noVBand="1" w:val="04A0"/>
      </w:tblPr>
      <w:tblGrid>
        <w:gridCol w:w="10297"/>
      </w:tblGrid>
      <w:tr>
        <w:tc>
          <w:tcPr>
            <w:tcW w:type="dxa" w:w="10252"/>
            <w:tcMar>
              <w:top w:w="75" w:type="dxa"/>
              <w:start w:w="105" w:type="dxa"/>
              <w:bottom w:w="75" w:type="dxa"/>
              <w:end w:w="105" w:type="dxa"/>
            </w:tcMar>
            <w:tcBorders>
              <w:top w:val="single" w:sz="5" w:space="0" w:color="A8C8C8"/>
              <w:left w:val="single" w:sz="5" w:space="0" w:color="A8C8C8"/>
              <w:bottom w:val="single" w:sz="5" w:space="0" w:color="A8C8C8"/>
              <w:right w:val="single" w:sz="5" w:space="0" w:color="A8C8C8"/>
            </w:tcBorders>
            <w:shd w:fill="FFF4D6" w:val="clear"/>
          </w:tcPr>
          <w:p>
            <w:pPr>
              <w:spacing w:after="0" w:line="240" w:lineRule="auto"/>
            </w:pPr>
            <w:r>
              <w:rPr>
                <w:rFonts w:ascii="Aptos" w:hAnsi="Aptos" w:eastAsia="Aptos"/>
                <w:b/>
                <w:i w:val="0"/>
                <w:color w:val="17324D"/>
                <w:sz w:val="17"/>
              </w:rPr>
              <w:t xml:space="preserve">DECISION BOUNDARY  </w:t>
            </w:r>
            <w:r>
              <w:rPr>
                <w:rFonts w:ascii="Aptos" w:hAnsi="Aptos" w:eastAsia="Aptos"/>
                <w:b w:val="0"/>
                <w:i w:val="0"/>
                <w:color w:val="20262B"/>
                <w:sz w:val="17"/>
              </w:rPr>
              <w:t>This note supports the publication decision only. It does not decide the merits of a complaint, any remedy, or any individual legal outcome. The original blanket retention and sharing propositions are not used in the corrected package; unresolved legacy records remain controlled under the published transitional rules.</w:t>
            </w:r>
          </w:p>
        </w:tc>
      </w:tr>
    </w:tbl>
    <w:p>
      <w:pPr>
        <w:spacing w:after="0" w:line="240" w:lineRule="auto"/>
      </w:pPr>
    </w:p>
    <w:p>
      <w:pPr>
        <w:spacing w:before="100" w:after="32" w:line="240" w:lineRule="auto"/>
        <w:keepNext/>
      </w:pPr>
      <w:r>
        <w:rPr>
          <w:rFonts w:ascii="Aptos" w:hAnsi="Aptos" w:eastAsia="Aptos"/>
          <w:b/>
          <w:i w:val="0"/>
          <w:color w:val="7A2E0E"/>
          <w:sz w:val="24"/>
        </w:rPr>
        <w:t>Observed inventory: results, not legal requirements</w:t>
      </w:r>
    </w:p>
    <w:tbl>
      <w:tblPr>
        <w:tblW w:type="auto" w:w="0"/>
        <w:jc w:val="center"/>
        <w:tblLayout w:type="fixed"/>
        <w:tblLook w:firstColumn="1" w:firstRow="1" w:lastColumn="0" w:lastRow="0" w:noHBand="0" w:noVBand="1" w:val="04A0"/>
      </w:tblPr>
      <w:tblGrid>
        <w:gridCol w:w="1287"/>
        <w:gridCol w:w="1287"/>
        <w:gridCol w:w="1287"/>
        <w:gridCol w:w="1287"/>
        <w:gridCol w:w="1287"/>
        <w:gridCol w:w="1287"/>
        <w:gridCol w:w="1287"/>
        <w:gridCol w:w="1287"/>
      </w:tblGrid>
      <w:tr>
        <w:trPr>
          <w:tblHeader w:val="true"/>
        </w:trPr>
        <w:tc>
          <w:tcPr>
            <w:tcW w:type="dxa" w:w="1886"/>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Period</w:t>
            </w:r>
          </w:p>
        </w:tc>
        <w:tc>
          <w:tcPr>
            <w:tcW w:type="dxa" w:w="835"/>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E&amp;W</w:t>
              <w:br/>
              <w:t>received</w:t>
            </w:r>
          </w:p>
        </w:tc>
        <w:tc>
          <w:tcPr>
            <w:tcW w:type="dxa" w:w="748"/>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E&amp;W</w:t>
              <w:br/>
              <w:t>first</w:t>
            </w:r>
          </w:p>
        </w:tc>
        <w:tc>
          <w:tcPr>
            <w:tcW w:type="dxa" w:w="936"/>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E&amp;W</w:t>
              <w:br/>
              <w:t>escalated</w:t>
            </w:r>
          </w:p>
        </w:tc>
        <w:tc>
          <w:tcPr>
            <w:tcW w:type="dxa" w:w="79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ON</w:t>
              <w:br/>
              <w:t>received</w:t>
            </w:r>
          </w:p>
        </w:tc>
        <w:tc>
          <w:tcPr>
            <w:tcW w:type="dxa" w:w="748"/>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ON</w:t>
              <w:br/>
              <w:t>first</w:t>
            </w:r>
          </w:p>
        </w:tc>
        <w:tc>
          <w:tcPr>
            <w:tcW w:type="dxa" w:w="907"/>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ON</w:t>
              <w:br/>
              <w:t>escalated</w:t>
            </w:r>
          </w:p>
        </w:tc>
        <w:tc>
          <w:tcPr>
            <w:tcW w:type="dxa" w:w="2793"/>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Combined</w:t>
              <w:br/>
              <w:t>received / first / escalated</w:t>
            </w:r>
          </w:p>
        </w:tc>
      </w:tr>
      <w:tr>
        <w:trPr>
          <w:cantSplit/>
        </w:trPr>
        <w:tc>
          <w:tcPr>
            <w:tcW w:type="dxa" w:w="1886"/>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12 months ended 31 Aug 2024</w:t>
            </w:r>
          </w:p>
        </w:tc>
        <w:tc>
          <w:tcPr>
            <w:tcW w:type="dxa" w:w="835"/>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80</w:t>
            </w:r>
          </w:p>
        </w:tc>
        <w:tc>
          <w:tcPr>
            <w:tcW w:type="dxa" w:w="74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68</w:t>
            </w:r>
          </w:p>
        </w:tc>
        <w:tc>
          <w:tcPr>
            <w:tcW w:type="dxa" w:w="936"/>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12</w:t>
            </w:r>
          </w:p>
        </w:tc>
        <w:tc>
          <w:tcPr>
            <w:tcW w:type="dxa" w:w="79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50</w:t>
            </w:r>
          </w:p>
        </w:tc>
        <w:tc>
          <w:tcPr>
            <w:tcW w:type="dxa" w:w="74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44</w:t>
            </w:r>
          </w:p>
        </w:tc>
        <w:tc>
          <w:tcPr>
            <w:tcW w:type="dxa" w:w="907"/>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6</w:t>
            </w:r>
          </w:p>
        </w:tc>
        <w:tc>
          <w:tcPr>
            <w:tcW w:type="dxa" w:w="2793"/>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130 / 112 / 18</w:t>
            </w:r>
          </w:p>
        </w:tc>
      </w:tr>
      <w:tr>
        <w:trPr>
          <w:cantSplit/>
        </w:trPr>
        <w:tc>
          <w:tcPr>
            <w:tcW w:type="dxa" w:w="1886"/>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12 months ended 31 Aug 2025</w:t>
            </w:r>
          </w:p>
        </w:tc>
        <w:tc>
          <w:tcPr>
            <w:tcW w:type="dxa" w:w="835"/>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100</w:t>
            </w:r>
          </w:p>
        </w:tc>
        <w:tc>
          <w:tcPr>
            <w:tcW w:type="dxa" w:w="74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78</w:t>
            </w:r>
          </w:p>
        </w:tc>
        <w:tc>
          <w:tcPr>
            <w:tcW w:type="dxa" w:w="936"/>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22</w:t>
            </w:r>
          </w:p>
        </w:tc>
        <w:tc>
          <w:tcPr>
            <w:tcW w:type="dxa" w:w="792"/>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60</w:t>
            </w:r>
          </w:p>
        </w:tc>
        <w:tc>
          <w:tcPr>
            <w:tcW w:type="dxa" w:w="74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48</w:t>
            </w:r>
          </w:p>
        </w:tc>
        <w:tc>
          <w:tcPr>
            <w:tcW w:type="dxa" w:w="907"/>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12</w:t>
            </w:r>
          </w:p>
        </w:tc>
        <w:tc>
          <w:tcPr>
            <w:tcW w:type="dxa" w:w="2793"/>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160 / 126 / 34</w:t>
            </w:r>
          </w:p>
        </w:tc>
      </w:tr>
    </w:tbl>
    <w:p>
      <w:pPr>
        <w:spacing w:after="0" w:line="240" w:lineRule="auto"/>
      </w:pPr>
    </w:p>
    <w:p>
      <w:pPr>
        <w:spacing w:after="40" w:line="240" w:lineRule="auto"/>
        <w:keepLines/>
      </w:pPr>
      <w:r>
        <w:rPr>
          <w:rFonts w:ascii="Aptos" w:hAnsi="Aptos" w:eastAsia="Aptos"/>
          <w:b w:val="0"/>
          <w:i w:val="0"/>
          <w:color w:val="20262B"/>
          <w:sz w:val="17"/>
        </w:rPr>
        <w:t>Observed change: total complaints rose from 130 to 160 (+30; 23.1%). England and Wales rose by 20 (25.0%); Ontario rose by 10 (20.0%). External escalations rose from 18 to 34 (+16; 88.9%).</w:t>
      </w:r>
    </w:p>
    <w:p>
      <w:pPr>
        <w:spacing w:after="40" w:line="240" w:lineRule="auto"/>
        <w:keepLines/>
      </w:pPr>
      <w:r>
        <w:rPr>
          <w:rFonts w:ascii="Aptos" w:hAnsi="Aptos" w:eastAsia="Aptos"/>
          <w:b w:val="0"/>
          <w:i w:val="0"/>
          <w:color w:val="20262B"/>
          <w:sz w:val="17"/>
        </w:rPr>
        <w:t>Escalation rates changed from 15.0% to 22.0% in England and Wales (+7.0pp) and from 12.0% to 20.0% in Ontario (+8.0pp). Combined first-response closure fell from 86.2% to 78.8% (-7.4pp); jurisdiction closure rates were 85.0% to 78.0% and 88.0% to 80.0%. The inventory shows higher volume and a materially higher escalation share; it does not establish why either changed.</w:t>
      </w:r>
    </w:p>
    <w:p>
      <w:pPr>
        <w:spacing w:before="100" w:after="32" w:line="240" w:lineRule="auto"/>
        <w:keepNext/>
      </w:pPr>
      <w:r>
        <w:rPr>
          <w:rFonts w:ascii="Aptos" w:hAnsi="Aptos" w:eastAsia="Aptos"/>
          <w:b/>
          <w:i w:val="0"/>
          <w:color w:val="7A2E0E"/>
          <w:sz w:val="24"/>
        </w:rPr>
        <w:t>Planning projection: separate from observed results and current requirements</w:t>
      </w:r>
    </w:p>
    <w:tbl>
      <w:tblPr>
        <w:tblW w:type="auto" w:w="0"/>
        <w:jc w:val="center"/>
        <w:tblLayout w:type="fixed"/>
        <w:tblLook w:firstColumn="1" w:firstRow="1" w:lastColumn="0" w:lastRow="0" w:noHBand="0" w:noVBand="1" w:val="04A0"/>
      </w:tblPr>
      <w:tblGrid>
        <w:gridCol w:w="1471"/>
        <w:gridCol w:w="1471"/>
        <w:gridCol w:w="1471"/>
        <w:gridCol w:w="1471"/>
        <w:gridCol w:w="1471"/>
        <w:gridCol w:w="1471"/>
        <w:gridCol w:w="1471"/>
      </w:tblGrid>
      <w:tr>
        <w:trPr>
          <w:tblHeader w:val="true"/>
        </w:trPr>
        <w:tc>
          <w:tcPr>
            <w:tcW w:type="dxa" w:w="1728"/>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Jurisdiction</w:t>
            </w:r>
          </w:p>
        </w:tc>
        <w:tc>
          <w:tcPr>
            <w:tcW w:type="dxa" w:w="820"/>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Volume</w:t>
            </w:r>
          </w:p>
        </w:tc>
        <w:tc>
          <w:tcPr>
            <w:tcW w:type="dxa" w:w="1800"/>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2025 first-response rate</w:t>
            </w:r>
          </w:p>
        </w:tc>
        <w:tc>
          <w:tcPr>
            <w:tcW w:type="dxa" w:w="1108"/>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Stated change</w:t>
            </w:r>
          </w:p>
        </w:tc>
        <w:tc>
          <w:tcPr>
            <w:tcW w:type="dxa" w:w="115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Projected rate</w:t>
            </w:r>
          </w:p>
        </w:tc>
        <w:tc>
          <w:tcPr>
            <w:tcW w:type="dxa" w:w="1296"/>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Projected first</w:t>
            </w:r>
          </w:p>
        </w:tc>
        <w:tc>
          <w:tcPr>
            <w:tcW w:type="dxa" w:w="1655"/>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Projected escalations</w:t>
            </w:r>
          </w:p>
        </w:tc>
      </w:tr>
      <w:tr>
        <w:trPr>
          <w:cantSplit/>
        </w:trPr>
        <w:tc>
          <w:tcPr>
            <w:tcW w:type="dxa" w:w="172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England and Wales</w:t>
            </w:r>
          </w:p>
        </w:tc>
        <w:tc>
          <w:tcPr>
            <w:tcW w:type="dxa" w:w="82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100</w:t>
            </w:r>
          </w:p>
        </w:tc>
        <w:tc>
          <w:tcPr>
            <w:tcW w:type="dxa" w:w="180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78.0%</w:t>
            </w:r>
          </w:p>
        </w:tc>
        <w:tc>
          <w:tcPr>
            <w:tcW w:type="dxa" w:w="110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+5.0pp</w:t>
            </w:r>
          </w:p>
        </w:tc>
        <w:tc>
          <w:tcPr>
            <w:tcW w:type="dxa" w:w="115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83.0%</w:t>
            </w:r>
          </w:p>
        </w:tc>
        <w:tc>
          <w:tcPr>
            <w:tcW w:type="dxa" w:w="1296"/>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83</w:t>
            </w:r>
          </w:p>
        </w:tc>
        <w:tc>
          <w:tcPr>
            <w:tcW w:type="dxa" w:w="1655"/>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17</w:t>
            </w:r>
          </w:p>
        </w:tc>
      </w:tr>
      <w:tr>
        <w:trPr>
          <w:cantSplit/>
        </w:trPr>
        <w:tc>
          <w:tcPr>
            <w:tcW w:type="dxa" w:w="172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Ontario</w:t>
            </w:r>
          </w:p>
        </w:tc>
        <w:tc>
          <w:tcPr>
            <w:tcW w:type="dxa" w:w="820"/>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60</w:t>
            </w:r>
          </w:p>
        </w:tc>
        <w:tc>
          <w:tcPr>
            <w:tcW w:type="dxa" w:w="1800"/>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80.0%</w:t>
            </w:r>
          </w:p>
        </w:tc>
        <w:tc>
          <w:tcPr>
            <w:tcW w:type="dxa" w:w="1108"/>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+5.0pp</w:t>
            </w:r>
          </w:p>
        </w:tc>
        <w:tc>
          <w:tcPr>
            <w:tcW w:type="dxa" w:w="1152"/>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85.0%</w:t>
            </w:r>
          </w:p>
        </w:tc>
        <w:tc>
          <w:tcPr>
            <w:tcW w:type="dxa" w:w="1296"/>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51</w:t>
            </w:r>
          </w:p>
        </w:tc>
        <w:tc>
          <w:tcPr>
            <w:tcW w:type="dxa" w:w="1655"/>
            <w:shd w:fill="F8FAFB"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9</w:t>
            </w:r>
          </w:p>
        </w:tc>
      </w:tr>
      <w:tr>
        <w:trPr>
          <w:cantSplit/>
        </w:trPr>
        <w:tc>
          <w:tcPr>
            <w:tcW w:type="dxa" w:w="172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Combined</w:t>
            </w:r>
          </w:p>
        </w:tc>
        <w:tc>
          <w:tcPr>
            <w:tcW w:type="dxa" w:w="82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160</w:t>
            </w:r>
          </w:p>
        </w:tc>
        <w:tc>
          <w:tcPr>
            <w:tcW w:type="dxa" w:w="180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78.8%</w:t>
            </w:r>
          </w:p>
        </w:tc>
        <w:tc>
          <w:tcPr>
            <w:tcW w:type="dxa" w:w="110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Derived</w:t>
            </w:r>
          </w:p>
        </w:tc>
        <w:tc>
          <w:tcPr>
            <w:tcW w:type="dxa" w:w="115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83.8%</w:t>
            </w:r>
          </w:p>
        </w:tc>
        <w:tc>
          <w:tcPr>
            <w:tcW w:type="dxa" w:w="1296"/>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134</w:t>
            </w:r>
          </w:p>
        </w:tc>
        <w:tc>
          <w:tcPr>
            <w:tcW w:type="dxa" w:w="1655"/>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26</w:t>
            </w:r>
          </w:p>
        </w:tc>
      </w:tr>
    </w:tbl>
    <w:p>
      <w:pPr>
        <w:spacing w:after="0" w:line="240" w:lineRule="auto"/>
      </w:pPr>
    </w:p>
    <w:p>
      <w:pPr>
        <w:spacing w:after="40" w:line="240" w:lineRule="auto"/>
        <w:keepLines/>
      </w:pPr>
      <w:r>
        <w:rPr>
          <w:rFonts w:ascii="Aptos" w:hAnsi="Aptos" w:eastAsia="Aptos"/>
          <w:b w:val="0"/>
          <w:i w:val="0"/>
          <w:color w:val="20262B"/>
          <w:sz w:val="17"/>
        </w:rPr>
        <w:t>Planning holds volumes at the latest annual level and adds exactly 5.0 percentage points to each jurisdiction's observed first-response closure rate. It is an integration assumption, not an observed result, service promise, retention rule, or legal requirement.</w:t>
      </w:r>
    </w:p>
    <w:p>
      <w:pPr>
        <w:spacing w:before="100" w:after="32" w:line="240" w:lineRule="auto"/>
        <w:keepNext/>
      </w:pPr>
      <w:r>
        <w:rPr>
          <w:rFonts w:ascii="Aptos" w:hAnsi="Aptos" w:eastAsia="Aptos"/>
          <w:b/>
          <w:i w:val="0"/>
          <w:color w:val="7A2E0E"/>
          <w:sz w:val="24"/>
        </w:rPr>
        <w:t>Legacy record decision table</w:t>
      </w:r>
    </w:p>
    <w:tbl>
      <w:tblPr>
        <w:tblW w:type="auto" w:w="0"/>
        <w:jc w:val="center"/>
        <w:tblLayout w:type="fixed"/>
        <w:tblLook w:firstColumn="1" w:firstRow="1" w:lastColumn="0" w:lastRow="0" w:noHBand="0" w:noVBand="1" w:val="04A0"/>
      </w:tblPr>
      <w:tblGrid>
        <w:gridCol w:w="2059"/>
        <w:gridCol w:w="2059"/>
        <w:gridCol w:w="2059"/>
        <w:gridCol w:w="2059"/>
        <w:gridCol w:w="2059"/>
      </w:tblGrid>
      <w:tr>
        <w:trPr>
          <w:tblHeader w:val="true"/>
        </w:trPr>
        <w:tc>
          <w:tcPr>
            <w:tcW w:type="dxa" w:w="777"/>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Matter</w:t>
            </w:r>
          </w:p>
        </w:tc>
        <w:tc>
          <w:tcPr>
            <w:tcW w:type="dxa" w:w="161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Known governing date / uncertainty</w:t>
            </w:r>
          </w:p>
        </w:tc>
        <w:tc>
          <w:tcPr>
            <w:tcW w:type="dxa" w:w="2995"/>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Applicable rule</w:t>
            </w:r>
          </w:p>
        </w:tc>
        <w:tc>
          <w:tcPr>
            <w:tcW w:type="dxa" w:w="233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Present disposition at 30 Sep 2025</w:t>
            </w:r>
          </w:p>
        </w:tc>
        <w:tc>
          <w:tcPr>
            <w:tcW w:type="dxa" w:w="259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Escalation or review trigger</w:t>
            </w:r>
          </w:p>
        </w:tc>
      </w:tr>
      <w:tr>
        <w:trPr>
          <w:cantSplit/>
        </w:trPr>
        <w:tc>
          <w:tcPr>
            <w:tcW w:type="dxa" w:w="777"/>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EW-22</w:t>
            </w:r>
          </w:p>
        </w:tc>
        <w:tc>
          <w:tcPr>
            <w:tcW w:type="dxa" w:w="161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Act: 15 Feb 2019. Final response: 20 Mar 2023, before 1 Apr 2023.</w:t>
            </w:r>
          </w:p>
        </w:tc>
        <w:tc>
          <w:tcPr>
            <w:tcW w:type="dxa" w:w="2995"/>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Apply the former Legal Ombudsman outer framework: six years from act or omission, or three years from when the complainant should reasonably have known there was cause to complain, plus six months from a compliant final response. Do not replace that historical rule with the later one-year framework.</w:t>
            </w:r>
          </w:p>
        </w:tc>
        <w:tc>
          <w:tcPr>
            <w:tcW w:type="dxa" w:w="233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Restricted preservation and category review. An Ombudsman window does not itself authorise destruction.</w:t>
            </w:r>
          </w:p>
        </w:tc>
        <w:tc>
          <w:tcPr>
            <w:tcW w:type="dxa" w:w="259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Regulatory lawyer verifies final-response compliance, applicable historical routing, holds, limitation and insurance needs before any retention decision.</w:t>
            </w:r>
          </w:p>
        </w:tc>
      </w:tr>
      <w:tr>
        <w:trPr>
          <w:cantSplit/>
        </w:trPr>
        <w:tc>
          <w:tcPr>
            <w:tcW w:type="dxa" w:w="777"/>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EW-23</w:t>
            </w:r>
          </w:p>
        </w:tc>
        <w:tc>
          <w:tcPr>
            <w:tcW w:type="dxa" w:w="161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Act: 15 May 2023. Final response: 20 Jul 2023, after 1 Apr 2023.</w:t>
            </w:r>
          </w:p>
        </w:tc>
        <w:tc>
          <w:tcPr>
            <w:tcW w:type="dxa" w:w="2995"/>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Apply the post-1 April 2023 Legal Ombudsman framework: generally one year from act or omission, or one year from reasonable knowledge, plus six months from a compliant final response; the Ombudsman retains fair-and-reasonable discretion.</w:t>
            </w:r>
          </w:p>
        </w:tc>
        <w:tc>
          <w:tcPr>
            <w:tcW w:type="dxa" w:w="233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Keep eligibility analysis separate from retention. Restricted preservation and category review; no disposal based only on complaint timing.</w:t>
            </w:r>
          </w:p>
        </w:tc>
        <w:tc>
          <w:tcPr>
            <w:tcW w:type="dxa" w:w="259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Regulatory lawyer checks route information, any hold, and record-category retention factors before an authorised disposition.</w:t>
            </w:r>
          </w:p>
        </w:tc>
      </w:tr>
      <w:tr>
        <w:trPr>
          <w:cantSplit/>
        </w:trPr>
        <w:tc>
          <w:tcPr>
            <w:tcW w:type="dxa" w:w="777"/>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ON-19</w:t>
            </w:r>
          </w:p>
        </w:tc>
        <w:tc>
          <w:tcPr>
            <w:tcW w:type="dxa" w:w="161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Completed: 30 Jun 2019. Closed: 15 Dec 2019. Client-identification record and trust ledger. No known hold. Consent status: unknown.</w:t>
            </w:r>
          </w:p>
        </w:tc>
        <w:tc>
          <w:tcPr>
            <w:tcW w:type="dxa" w:w="2995"/>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Identification/verification minimum: six years following completion; minimum elapsed on 30 Jun 2025, subject to other purposes and controls. Trust ledger: separate ten-year financial-record rule measured by the applicable fiscal-period trigger; complaint closure does not set its disposal date.</w:t>
            </w:r>
          </w:p>
        </w:tc>
        <w:tc>
          <w:tcPr>
            <w:tcW w:type="dxa" w:w="233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Do not dispose of the file as one unit. Restrict the trust ledger. Consent is unknown and is not a disclosure basis; no group or regulator sharing without a validated legal or professional basis and necessity.</w:t>
            </w:r>
          </w:p>
        </w:tc>
        <w:tc>
          <w:tcPr>
            <w:tcW w:type="dxa" w:w="259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Records owner and privacy/regulatory lawyer verify category, fiscal trigger, privilege/confidentiality, insurance or other need, and then log any authorised record-level disposition.</w:t>
            </w:r>
          </w:p>
        </w:tc>
      </w:tr>
      <w:tr>
        <w:trPr>
          <w:cantSplit/>
        </w:trPr>
        <w:tc>
          <w:tcPr>
            <w:tcW w:type="dxa" w:w="777"/>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ON-25</w:t>
            </w:r>
          </w:p>
        </w:tc>
        <w:tc>
          <w:tcPr>
            <w:tcW w:type="dxa" w:w="161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Closed: 10 Feb 2025. Threatened negligence claim. Preservation notice has no release date.</w:t>
            </w:r>
          </w:p>
        </w:tc>
        <w:tc>
          <w:tcPr>
            <w:tcW w:type="dxa" w:w="2995"/>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A preservation notice and reasonably anticipated claim suspend ordinary destruction until formally released; closure does not override the notice.</w:t>
            </w:r>
          </w:p>
        </w:tc>
        <w:tc>
          <w:tcPr>
            <w:tcW w:type="dxa" w:w="233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Continue restricted preservation. No ordinary destruction while the notice lacks a documented release.</w:t>
            </w:r>
          </w:p>
        </w:tc>
        <w:tc>
          <w:tcPr>
            <w:tcW w:type="dxa" w:w="259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Litigation counsel supplies a documented formal release; then the records owner classifies and applies the schedule.</w:t>
            </w:r>
          </w:p>
        </w:tc>
      </w:tr>
    </w:tbl>
    <w:p>
      <w:pPr>
        <w:spacing w:after="0" w:line="240" w:lineRule="auto"/>
      </w:pPr>
    </w:p>
    <w:p>
      <w:pPr>
        <w:spacing w:before="100" w:after="32" w:line="240" w:lineRule="auto"/>
        <w:keepNext/>
      </w:pPr>
      <w:r>
        <w:rPr>
          <w:rFonts w:ascii="Aptos" w:hAnsi="Aptos" w:eastAsia="Aptos"/>
          <w:b/>
          <w:i w:val="0"/>
          <w:color w:val="7A2E0E"/>
          <w:sz w:val="24"/>
        </w:rPr>
        <w:t>Change record</w:t>
      </w:r>
    </w:p>
    <w:tbl>
      <w:tblPr>
        <w:tblW w:type="auto" w:w="0"/>
        <w:jc w:val="center"/>
        <w:tblLayout w:type="fixed"/>
        <w:tblLook w:firstColumn="1" w:firstRow="1" w:lastColumn="0" w:lastRow="0" w:noHBand="0" w:noVBand="1" w:val="04A0"/>
      </w:tblPr>
      <w:tblGrid>
        <w:gridCol w:w="5148"/>
        <w:gridCol w:w="5148"/>
      </w:tblGrid>
      <w:tr>
        <w:trPr>
          <w:tblHeader w:val="true"/>
        </w:trPr>
        <w:tc>
          <w:tcPr>
            <w:tcW w:type="dxa" w:w="1944"/>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Correction</w:t>
            </w:r>
          </w:p>
        </w:tc>
        <w:tc>
          <w:tcPr>
            <w:tcW w:type="dxa" w:w="8308"/>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4"/>
              </w:rPr>
              <w:t>Corrected position</w:t>
            </w:r>
          </w:p>
        </w:tc>
      </w:tr>
      <w:tr>
        <w:trPr>
          <w:cantSplit/>
        </w:trPr>
        <w:tc>
          <w:tcPr>
            <w:tcW w:type="dxa" w:w="1944"/>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Retention</w:t>
            </w:r>
          </w:p>
        </w:tc>
        <w:tc>
          <w:tcPr>
            <w:tcW w:type="dxa" w:w="830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Replaces a universal seven-year period from opening with jurisdiction, category, purpose, minimum, trigger, limitation/insurance, hold, and review controls.</w:t>
            </w:r>
          </w:p>
        </w:tc>
      </w:tr>
      <w:tr>
        <w:trPr>
          <w:cantSplit/>
        </w:trPr>
        <w:tc>
          <w:tcPr>
            <w:tcW w:type="dxa" w:w="1944"/>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Disclosure</w:t>
            </w:r>
          </w:p>
        </w:tc>
        <w:tc>
          <w:tcPr>
            <w:tcW w:type="dxa" w:w="8308"/>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Removes sharing whenever useful. Requires valid legal or professional authority, necessity, role-based group access, and secure escalation.</w:t>
            </w:r>
          </w:p>
        </w:tc>
      </w:tr>
      <w:tr>
        <w:trPr>
          <w:cantSplit/>
        </w:trPr>
        <w:tc>
          <w:tcPr>
            <w:tcW w:type="dxa" w:w="1944"/>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Routes and dates</w:t>
            </w:r>
          </w:p>
        </w:tc>
        <w:tc>
          <w:tcPr>
            <w:tcW w:type="dxa" w:w="830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States current Legal Ombudsman one-year act-or-knowledge and six-month final-response rules; preserves the 1 April 2023 transition for earlier final responses.</w:t>
            </w:r>
          </w:p>
        </w:tc>
      </w:tr>
      <w:tr>
        <w:trPr>
          <w:cantSplit/>
        </w:trPr>
        <w:tc>
          <w:tcPr>
            <w:tcW w:type="dxa" w:w="1944"/>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People and uncertainty</w:t>
            </w:r>
          </w:p>
        </w:tc>
        <w:tc>
          <w:tcPr>
            <w:tcW w:type="dxa" w:w="8308"/>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Defines client as the instructing person or entity; separates other complainants; unknown legacy classification, consent, closure, or date leads to restricted preservation and escalation.</w:t>
            </w:r>
          </w:p>
        </w:tc>
      </w:tr>
      <w:tr>
        <w:trPr>
          <w:cantSplit/>
        </w:trPr>
        <w:tc>
          <w:tcPr>
            <w:tcW w:type="dxa" w:w="1944"/>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Evidence and planning</w:t>
            </w:r>
          </w:p>
        </w:tc>
        <w:tc>
          <w:tcPr>
            <w:tcW w:type="dxa" w:w="8308"/>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4"/>
              </w:rPr>
              <w:t>Separates observed 2024/2025 inventory from the five-percentage-point planning projection and states that the inventory does not establish cause.</w:t>
            </w:r>
          </w:p>
        </w:tc>
      </w:tr>
    </w:tbl>
    <w:p>
      <w:pPr>
        <w:spacing w:after="0" w:line="240" w:lineRule="auto"/>
      </w:pPr>
    </w:p>
    <w:p>
      <w:pPr>
        <w:spacing w:before="100" w:after="32" w:line="240" w:lineRule="auto"/>
        <w:keepNext/>
      </w:pPr>
      <w:r>
        <w:rPr>
          <w:rFonts w:ascii="Aptos" w:hAnsi="Aptos" w:eastAsia="Aptos"/>
          <w:b/>
          <w:i w:val="0"/>
          <w:color w:val="7A2E0E"/>
          <w:sz w:val="24"/>
        </w:rPr>
        <w:t>Authorities and control basis</w:t>
      </w:r>
    </w:p>
    <w:tbl>
      <w:tblPr>
        <w:tblW w:type="auto" w:w="0"/>
        <w:jc w:val="center"/>
        <w:tblLayout w:type="fixed"/>
        <w:tblLook w:firstColumn="1" w:firstRow="1" w:lastColumn="0" w:lastRow="0" w:noHBand="0" w:noVBand="1" w:val="04A0"/>
      </w:tblPr>
      <w:tblGrid>
        <w:gridCol w:w="5148"/>
        <w:gridCol w:w="5148"/>
      </w:tblGrid>
      <w:tr>
        <w:trPr>
          <w:tblHeader w:val="true"/>
        </w:trPr>
        <w:tc>
          <w:tcPr>
            <w:tcW w:type="dxa" w:w="1800"/>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Status</w:t>
            </w:r>
          </w:p>
        </w:tc>
        <w:tc>
          <w:tcPr>
            <w:tcW w:type="dxa" w:w="8452"/>
            <w:shd w:fill="7A2E0E"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jc w:val="center"/>
            </w:pPr>
            <w:r>
              <w:rPr>
                <w:rFonts w:ascii="Aptos" w:hAnsi="Aptos" w:eastAsia="Aptos"/>
                <w:b/>
                <w:i w:val="0"/>
                <w:color w:val="FFFFFF"/>
                <w:sz w:val="13"/>
              </w:rPr>
              <w:t>Authority relied on</w:t>
            </w:r>
          </w:p>
        </w:tc>
      </w:tr>
      <w:tr>
        <w:trPr>
          <w:cantSplit/>
        </w:trPr>
        <w:tc>
          <w:tcPr>
            <w:tcW w:type="dxa" w:w="180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Binding / operative</w:t>
            </w:r>
          </w:p>
        </w:tc>
        <w:tc>
          <w:tcPr>
            <w:tcW w:type="dxa" w:w="845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SRA Code of Conduct for Firms, para. 8.2 (complaints information and prompt, fair, free handling); SRA Transparency Rules, r. 3; SRA Code of Conduct for Solicitors, RELs and RFLs, para. 6.3 (confidentiality); Legal Ombudsman Scheme Rules, r. 4 (current rules from 1 April 2023 and prior rules for pre-change matters).</w:t>
            </w:r>
          </w:p>
        </w:tc>
      </w:tr>
      <w:tr>
        <w:trPr>
          <w:cantSplit/>
        </w:trPr>
        <w:tc>
          <w:tcPr>
            <w:tcW w:type="dxa" w:w="1800"/>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Binding / operative</w:t>
            </w:r>
          </w:p>
        </w:tc>
        <w:tc>
          <w:tcPr>
            <w:tcW w:type="dxa" w:w="845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UK GDPR arts. 5, 6, 9, 10 and 32; Data Protection Act 2018, Sch. 2 Pt. 4 (legal professional privilege and related restrictions).</w:t>
            </w:r>
          </w:p>
        </w:tc>
      </w:tr>
      <w:tr>
        <w:trPr>
          <w:cantSplit/>
        </w:trPr>
        <w:tc>
          <w:tcPr>
            <w:tcW w:type="dxa" w:w="1800"/>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Binding / operative</w:t>
            </w:r>
          </w:p>
        </w:tc>
        <w:tc>
          <w:tcPr>
            <w:tcW w:type="dxa" w:w="8452"/>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Law Society of Ontario Rules of Professional Conduct, r. 3.3-1; PIPEDA ss. 4, 5 and 7 and Schedule 1 clauses 4.1, 4.3, 4.4, 4.5, 4.7 and 4.9; Law Society of Ontario By-Law 7.1 (identification and verification records) and By-Law 9 (financial and trust-accounting records).</w:t>
            </w:r>
          </w:p>
        </w:tc>
      </w:tr>
      <w:tr>
        <w:trPr>
          <w:cantSplit/>
        </w:trPr>
        <w:tc>
          <w:tcPr>
            <w:tcW w:type="dxa" w:w="1800"/>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Official guidance</w:t>
            </w:r>
          </w:p>
        </w:tc>
        <w:tc>
          <w:tcPr>
            <w:tcW w:type="dxa" w:w="8452"/>
            <w:shd w:fill="FCF6F1" w:val="clear"/>
            <w:tcMar>
              <w:top w:w="65" w:type="dxa"/>
              <w:start w:w="85" w:type="dxa"/>
              <w:bottom w:w="65" w:type="dxa"/>
              <w:end w:w="85" w:type="dxa"/>
            </w:tcMar>
            <w:tcBorders>
              <w:top w:val="single" w:sz="4" w:space="0" w:color="CBD5DD"/>
              <w:left w:val="single" w:sz="4" w:space="0" w:color="CBD5DD"/>
              <w:bottom w:val="single" w:sz="4" w:space="0" w:color="CBD5DD"/>
              <w:right w:val="single" w:sz="4" w:space="0" w:color="CBD5DD"/>
            </w:tcBorders>
            <w:vAlign w:val="center"/>
          </w:tcPr>
          <w:p>
            <w:pPr>
              <w:spacing w:after="0" w:line="240" w:lineRule="auto"/>
            </w:pPr>
            <w:r>
              <w:rPr>
                <w:rFonts w:ascii="Aptos" w:hAnsi="Aptos" w:eastAsia="Aptos"/>
                <w:b w:val="0"/>
                <w:i w:val="0"/>
                <w:color w:val="20262B"/>
                <w:sz w:val="13"/>
              </w:rPr>
              <w:t>Official SRA, Legal Ombudsman, Information Commissioner's Office, Office of the Privacy Commissioner of Canada, and Law Society of Ontario guidance assists application but does not replace the binding duties above.</w:t>
            </w:r>
          </w:p>
        </w:tc>
      </w:tr>
    </w:tbl>
    <w:p>
      <w:pPr>
        <w:spacing w:after="0" w:line="240" w:lineRule="auto"/>
      </w:pPr>
    </w:p>
    <w:p>
      <w:pPr>
        <w:spacing w:before="100" w:after="32" w:line="240" w:lineRule="auto"/>
        <w:keepNext/>
      </w:pPr>
      <w:r>
        <w:rPr>
          <w:rFonts w:ascii="Aptos" w:hAnsi="Aptos" w:eastAsia="Aptos"/>
          <w:b/>
          <w:i w:val="0"/>
          <w:color w:val="7A2E0E"/>
          <w:sz w:val="24"/>
        </w:rPr>
        <w:t>Approval analysis</w:t>
      </w:r>
    </w:p>
    <w:p>
      <w:pPr>
        <w:spacing w:after="40" w:line="240" w:lineRule="auto"/>
        <w:keepLines/>
      </w:pPr>
      <w:r>
        <w:rPr>
          <w:rFonts w:ascii="Aptos" w:hAnsi="Aptos" w:eastAsia="Aptos"/>
          <w:b w:val="0"/>
          <w:i w:val="0"/>
          <w:color w:val="20262B"/>
          <w:sz w:val="17"/>
        </w:rPr>
        <w:t>The public text is suitable for release because it corrects the two blanket propositions, gives a usable intake and escalation route, confines legal scope to the two stated jurisdictions, and preserves category-specific controls. The absence of a file-level legacy audit does not require public release of uncertain material or routine disposal: the transitional fallback restricts, preserves, and escalates each unverified legacy issue until a competent owner verifies it.</w:t>
      </w:r>
    </w:p>
    <w:p>
      <w:pPr>
        <w:spacing w:after="40" w:line="240" w:lineRule="auto"/>
        <w:keepLines/>
      </w:pPr>
      <w:r>
        <w:rPr>
          <w:rFonts w:ascii="Aptos" w:hAnsi="Aptos" w:eastAsia="Aptos"/>
          <w:b w:val="0"/>
          <w:i w:val="0"/>
          <w:color w:val="20262B"/>
          <w:sz w:val="17"/>
        </w:rPr>
        <w:t>The observed inventory supports operational attention to increased volume and escalation share, while the projection remains expressly separate from the current legal requirements and observed outcomes. Publication authority remains limited to this policy package and does not determine any complaint's merits, redress, or individual legal outcome.</w:t>
      </w:r>
    </w:p>
    <w:p>
      <w:pPr>
        <w:spacing w:after="0" w:line="240" w:lineRule="auto" w:before="100"/>
        <w:keepLines/>
      </w:pPr>
      <w:r>
        <w:rPr>
          <w:rFonts w:ascii="Aptos" w:hAnsi="Aptos" w:eastAsia="Aptos"/>
          <w:b/>
          <w:i w:val="0"/>
          <w:color w:val="7A2E0E"/>
          <w:sz w:val="18"/>
        </w:rPr>
        <w:t>Recommendation: Publish the corrected package on Friday, with the transitional controls and restricted-preservation treatment set out in this note.</w:t>
      </w:r>
    </w:p>
    <w:sectPr w:rsidR="00FC693F" w:rsidRPr="0006063C" w:rsidSect="00034616">
      <w:headerReference w:type="default" r:id="rId9"/>
      <w:footerReference w:type="default" r:id="rId10"/>
      <w:pgSz w:w="11909" w:h="16834"/>
      <w:pgMar w:top="691" w:right="806" w:bottom="662" w:left="80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6737F"/>
        <w:sz w:val="14"/>
      </w:rPr>
      <w:t xml:space="preserve">Controlled policy package  |  30 September 2025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6737F"/>
        <w:sz w:val="14"/>
      </w:rPr>
      <w:t>BALLANTRY PRACTICE  |  COMPLAINTS AND RECORDS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0262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ldTitle">
    <w:name w:val="GoldTitle"/>
    <w:rPr>
      <w:rFonts w:ascii="Aptos" w:hAnsi="Aptos" w:eastAsia="Aptos"/>
      <w:color w:val="17324D"/>
      <w:sz w:val="36"/>
    </w:rPr>
  </w:style>
  <w:style w:type="paragraph" w:customStyle="1" w:styleId="GoldSubtitle">
    <w:name w:val="GoldSubtitle"/>
    <w:rPr>
      <w:rFonts w:ascii="Aptos" w:hAnsi="Aptos" w:eastAsia="Aptos"/>
      <w:color w:val="6673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Cross-Jurisdiction Public Complaints Policy</dc:title>
  <dc:subject>England and Wales and Ontario; public policy and controlled internal approval material</dc:subject>
  <dc:creator>Ballantry Practice</dc:creator>
  <cp:keywords>complaints, confidentiality, retention, England and Wales, Ontario</cp:keywords>
  <dc:description>generated by python-docx</dc:description>
  <cp:lastModifiedBy/>
  <cp:revision>1</cp:revision>
  <dcterms:created xsi:type="dcterms:W3CDTF">2013-12-23T23:15:00Z</dcterms:created>
  <dcterms:modified xsi:type="dcterms:W3CDTF">2013-12-23T23:15:00Z</dcterms:modified>
  <cp:category/>
</cp:coreProperties>
</file>