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
        <w:jc w:val="center"/>
      </w:pPr>
      <w:r>
        <w:rPr>
          <w:b/>
          <w:color w:val="1F4162"/>
          <w:sz w:val="30"/>
        </w:rPr>
        <w:t>FENWICK STREET COMMUNITY HEALTH CENTER</w:t>
      </w:r>
    </w:p>
    <w:p>
      <w:pPr>
        <w:spacing w:after="140"/>
        <w:jc w:val="center"/>
      </w:pPr>
      <w:r>
        <w:rPr>
          <w:b/>
          <w:sz w:val="26"/>
        </w:rPr>
        <w:t>Language-Access Options Assessment</w:t>
      </w:r>
    </w:p>
    <w:tbl>
      <w:tblPr>
        <w:tblW w:type="auto" w:w="0"/>
        <w:jc w:val="center"/>
        <w:tblLayout w:type="fixed"/>
        <w:tblLook w:firstColumn="1" w:firstRow="1" w:lastColumn="0" w:lastRow="0" w:noHBand="0" w:noVBand="1" w:val="04A0"/>
      </w:tblPr>
      <w:tblGrid>
        <w:gridCol w:w="1440"/>
        <w:gridCol w:w="8496"/>
      </w:tblGrid>
      <w:tr>
        <w:tc>
          <w:tcPr>
            <w:tcW w:type="dxa" w:w="1440"/>
            <w:shd w:fill="EAF0F5"/>
            <w:vAlign w:val="top"/>
          </w:tcPr>
          <w:p>
            <w:pPr>
              <w:spacing w:after="0"/>
            </w:pPr>
            <w:r/>
            <w:r>
              <w:rPr>
                <w:b/>
                <w:color w:val="1F4162"/>
                <w:sz w:val="16"/>
              </w:rPr>
              <w:t>TO</w:t>
            </w:r>
          </w:p>
        </w:tc>
        <w:tc>
          <w:tcPr>
            <w:tcW w:type="dxa" w:w="8496"/>
            <w:vAlign w:val="top"/>
          </w:tcPr>
          <w:p>
            <w:pPr>
              <w:spacing w:after="0"/>
            </w:pPr>
            <w:r/>
            <w:r>
              <w:rPr>
                <w:b w:val="0"/>
                <w:sz w:val="17"/>
              </w:rPr>
              <w:t>Obadiah Whitmarsh, CEO; Finance Committee</w:t>
            </w:r>
          </w:p>
        </w:tc>
      </w:tr>
      <w:tr>
        <w:tc>
          <w:tcPr>
            <w:tcW w:type="dxa" w:w="1440"/>
            <w:shd w:fill="EAF0F5"/>
            <w:vAlign w:val="top"/>
          </w:tcPr>
          <w:p>
            <w:pPr>
              <w:spacing w:after="0"/>
            </w:pPr>
            <w:r/>
            <w:r>
              <w:rPr>
                <w:b/>
                <w:color w:val="1F4162"/>
                <w:sz w:val="16"/>
              </w:rPr>
              <w:t>FROM</w:t>
            </w:r>
          </w:p>
        </w:tc>
        <w:tc>
          <w:tcPr>
            <w:tcW w:type="dxa" w:w="8496"/>
            <w:vAlign w:val="top"/>
          </w:tcPr>
          <w:p>
            <w:pPr>
              <w:spacing w:after="0"/>
            </w:pPr>
            <w:r/>
            <w:r>
              <w:rPr>
                <w:b w:val="0"/>
                <w:sz w:val="17"/>
              </w:rPr>
              <w:t>Nasreen Kestenbaum, RN, Quality and Compliance Lead</w:t>
            </w:r>
          </w:p>
        </w:tc>
      </w:tr>
      <w:tr>
        <w:tc>
          <w:tcPr>
            <w:tcW w:type="dxa" w:w="1440"/>
            <w:shd w:fill="EAF0F5"/>
            <w:vAlign w:val="top"/>
          </w:tcPr>
          <w:p>
            <w:pPr>
              <w:spacing w:after="0"/>
            </w:pPr>
            <w:r/>
            <w:r>
              <w:rPr>
                <w:b/>
                <w:color w:val="1F4162"/>
                <w:sz w:val="16"/>
              </w:rPr>
              <w:t>DATE</w:t>
            </w:r>
          </w:p>
        </w:tc>
        <w:tc>
          <w:tcPr>
            <w:tcW w:type="dxa" w:w="8496"/>
            <w:vAlign w:val="top"/>
          </w:tcPr>
          <w:p>
            <w:pPr>
              <w:spacing w:after="0"/>
            </w:pPr>
            <w:r/>
            <w:r>
              <w:rPr>
                <w:b w:val="0"/>
                <w:sz w:val="17"/>
              </w:rPr>
              <w:t>Decision meeting on the 9th</w:t>
            </w:r>
          </w:p>
        </w:tc>
      </w:tr>
      <w:tr>
        <w:tc>
          <w:tcPr>
            <w:tcW w:type="dxa" w:w="1440"/>
            <w:shd w:fill="EAF0F5"/>
            <w:vAlign w:val="top"/>
          </w:tcPr>
          <w:p>
            <w:pPr>
              <w:spacing w:after="0"/>
            </w:pPr>
            <w:r/>
            <w:r>
              <w:rPr>
                <w:b/>
                <w:color w:val="1F4162"/>
                <w:sz w:val="16"/>
              </w:rPr>
              <w:t>SUBJECT</w:t>
            </w:r>
          </w:p>
        </w:tc>
        <w:tc>
          <w:tcPr>
            <w:tcW w:type="dxa" w:w="8496"/>
            <w:vAlign w:val="top"/>
          </w:tcPr>
          <w:p>
            <w:pPr>
              <w:spacing w:after="0"/>
            </w:pPr>
            <w:r/>
            <w:r>
              <w:rPr>
                <w:b w:val="0"/>
                <w:sz w:val="17"/>
              </w:rPr>
              <w:t>Language-access contract expires in December</w:t>
            </w:r>
          </w:p>
        </w:tc>
      </w:tr>
    </w:tbl>
    <w:p>
      <w:pPr>
        <w:spacing w:before="120" w:after="60"/>
      </w:pPr>
      <w:r>
        <w:rPr>
          <w:b/>
          <w:color w:val="1F4162"/>
        </w:rPr>
        <w:t xml:space="preserve">DECISION IN BRIEF  </w:t>
      </w:r>
      <w:r>
        <w:t>Approve the eight-room qualified-interpreter tablet model as the single direction for the December transition, subject to documented privacy, access, usability, and contingency controls. The supplied cost-per-encounter and wait-time figures are close; they do not resolve the material compliance, safety, patient-choice, and trust questions.</w:t>
      </w:r>
    </w:p>
    <w:p>
      <w:pPr>
        <w:pStyle w:val="Heading1"/>
      </w:pPr>
      <w:r>
        <w:t>Why this decision is needed</w:t>
      </w:r>
    </w:p>
    <w:p>
      <w:r>
        <w:t>The current language-access contract ends in December, and the finance committee must choose on the 9th. Somali-speaking patients have been bringing family members to interpret since a local interpreter breached confidentiality two years ago. That history is a serious trust signal, not proof that every interpreter, agency, tablet, or bilingual medical assistant is unsafe. The center must restore meaningful access without shifting the burden to patients.</w:t>
      </w:r>
    </w:p>
    <w:p>
      <w:pPr>
        <w:pStyle w:val="Heading1"/>
      </w:pPr>
      <w:r>
        <w:t>Options at a glance</w:t>
      </w:r>
    </w:p>
    <w:tbl>
      <w:tblPr>
        <w:tblW w:type="auto" w:w="0"/>
        <w:jc w:val="center"/>
        <w:tblLayout w:type="fixed"/>
        <w:tblLook w:firstColumn="1" w:firstRow="1" w:lastColumn="0" w:lastRow="0" w:noHBand="0" w:noVBand="1" w:val="04A0"/>
      </w:tblPr>
      <w:tblGrid>
        <w:gridCol w:w="2232"/>
        <w:gridCol w:w="2592"/>
        <w:gridCol w:w="2592"/>
        <w:gridCol w:w="2592"/>
      </w:tblGrid>
      <w:tr>
        <w:tc>
          <w:tcPr>
            <w:tcW w:type="dxa" w:w="2592"/>
            <w:shd w:fill="1F4162"/>
            <w:vAlign w:val="top"/>
          </w:tcPr>
          <w:p>
            <w:pPr>
              <w:spacing w:after="0"/>
            </w:pPr>
            <w:r/>
            <w:r>
              <w:rPr>
                <w:b/>
                <w:color w:val="FFFFFF"/>
                <w:sz w:val="16"/>
              </w:rPr>
              <w:t>Option</w:t>
            </w:r>
          </w:p>
        </w:tc>
        <w:tc>
          <w:tcPr>
            <w:tcW w:type="dxa" w:w="2592"/>
            <w:shd w:fill="1F4162"/>
            <w:vAlign w:val="top"/>
          </w:tcPr>
          <w:p>
            <w:pPr>
              <w:spacing w:after="0"/>
            </w:pPr>
            <w:r/>
            <w:r>
              <w:rPr>
                <w:b/>
                <w:color w:val="FFFFFF"/>
                <w:sz w:val="16"/>
              </w:rPr>
              <w:t>Compliance and patient impact</w:t>
            </w:r>
          </w:p>
        </w:tc>
        <w:tc>
          <w:tcPr>
            <w:tcW w:type="dxa" w:w="2592"/>
            <w:shd w:fill="1F4162"/>
            <w:vAlign w:val="top"/>
          </w:tcPr>
          <w:p>
            <w:pPr>
              <w:spacing w:after="0"/>
            </w:pPr>
            <w:r/>
            <w:r>
              <w:rPr>
                <w:b/>
                <w:color w:val="FFFFFF"/>
                <w:sz w:val="16"/>
              </w:rPr>
              <w:t>Operational exposure</w:t>
            </w:r>
          </w:p>
        </w:tc>
        <w:tc>
          <w:tcPr>
            <w:tcW w:type="dxa" w:w="2592"/>
            <w:shd w:fill="1F4162"/>
            <w:vAlign w:val="top"/>
          </w:tcPr>
          <w:p>
            <w:pPr>
              <w:spacing w:after="0"/>
            </w:pPr>
            <w:r/>
            <w:r>
              <w:rPr>
                <w:b/>
                <w:color w:val="FFFFFF"/>
                <w:sz w:val="16"/>
              </w:rPr>
              <w:t>Assessment</w:t>
            </w:r>
          </w:p>
        </w:tc>
      </w:tr>
      <w:tr>
        <w:tc>
          <w:tcPr>
            <w:tcW w:type="dxa" w:w="2232"/>
            <w:vAlign w:val="top"/>
          </w:tcPr>
          <w:p>
            <w:pPr>
              <w:spacing w:after="0"/>
            </w:pPr>
            <w:r/>
            <w:r>
              <w:rPr>
                <w:b/>
                <w:color w:val="1F4162"/>
                <w:sz w:val="15"/>
              </w:rPr>
              <w:t>Renew per-hour in-person agency</w:t>
            </w:r>
          </w:p>
        </w:tc>
        <w:tc>
          <w:tcPr>
            <w:tcW w:type="dxa" w:w="2592"/>
            <w:vAlign w:val="top"/>
          </w:tcPr>
          <w:p>
            <w:pPr>
              <w:spacing w:after="0"/>
            </w:pPr>
            <w:r/>
            <w:r>
              <w:rPr>
                <w:b w:val="0"/>
                <w:sz w:val="15"/>
              </w:rPr>
              <w:t>Can provide qualified interpretation and patient choice if qualification, confidentiality, accuracy, and accountability are verified. The prior breach requires controls and trust repair, not a blanket rejection.</w:t>
            </w:r>
          </w:p>
        </w:tc>
        <w:tc>
          <w:tcPr>
            <w:tcW w:type="dxa" w:w="2592"/>
            <w:vAlign w:val="top"/>
          </w:tcPr>
          <w:p>
            <w:pPr>
              <w:spacing w:after="0"/>
            </w:pPr>
            <w:r/>
            <w:r>
              <w:rPr>
                <w:b w:val="0"/>
                <w:sz w:val="15"/>
              </w:rPr>
              <w:t>Continuity depends on agency coverage, named escalation, incident reporting, and consistent interpreters; contract terms and performance evidence are not supplied.</w:t>
            </w:r>
          </w:p>
        </w:tc>
        <w:tc>
          <w:tcPr>
            <w:tcW w:type="dxa" w:w="2592"/>
            <w:vAlign w:val="top"/>
          </w:tcPr>
          <w:p>
            <w:pPr>
              <w:spacing w:after="0"/>
            </w:pPr>
            <w:r/>
            <w:r>
              <w:rPr>
                <w:b w:val="0"/>
                <w:sz w:val="15"/>
              </w:rPr>
              <w:t>Viable only if due diligence and enforceable safeguards are stronger than the prior arrangement.</w:t>
            </w:r>
          </w:p>
        </w:tc>
      </w:tr>
      <w:tr>
        <w:tc>
          <w:tcPr>
            <w:tcW w:type="dxa" w:w="2232"/>
            <w:vAlign w:val="top"/>
          </w:tcPr>
          <w:p>
            <w:pPr>
              <w:spacing w:after="0"/>
            </w:pPr>
            <w:r/>
            <w:r>
              <w:rPr>
                <w:b/>
                <w:color w:val="1F4162"/>
                <w:sz w:val="15"/>
              </w:rPr>
              <w:t>Interpreter tablets in all eight rooms</w:t>
            </w:r>
          </w:p>
        </w:tc>
        <w:tc>
          <w:tcPr>
            <w:tcW w:type="dxa" w:w="2592"/>
            <w:vAlign w:val="top"/>
          </w:tcPr>
          <w:p>
            <w:pPr>
              <w:spacing w:after="0"/>
            </w:pPr>
            <w:r/>
            <w:r>
              <w:rPr>
                <w:b w:val="0"/>
                <w:sz w:val="15"/>
              </w:rPr>
              <w:t>Can connect patients to a qualified interpreter without making family the default. Privacy depends on authentication, minimum-necessary display, secure configuration, and a private encounter setting.</w:t>
            </w:r>
          </w:p>
        </w:tc>
        <w:tc>
          <w:tcPr>
            <w:tcW w:type="dxa" w:w="2592"/>
            <w:vAlign w:val="top"/>
          </w:tcPr>
          <w:p>
            <w:pPr>
              <w:spacing w:after="0"/>
            </w:pPr>
            <w:r/>
            <w:r>
              <w:rPr>
                <w:b w:val="0"/>
                <w:sz w:val="15"/>
              </w:rPr>
              <w:t>Connectivity, device availability, language matching, accessibility, and staff ability to start/escalate a session must be tested. Technology can become a barrier.</w:t>
            </w:r>
          </w:p>
        </w:tc>
        <w:tc>
          <w:tcPr>
            <w:tcW w:type="dxa" w:w="2592"/>
            <w:vAlign w:val="top"/>
          </w:tcPr>
          <w:p>
            <w:pPr>
              <w:spacing w:after="0"/>
            </w:pPr>
            <w:r/>
            <w:r>
              <w:rPr>
                <w:b w:val="0"/>
                <w:sz w:val="15"/>
              </w:rPr>
              <w:t>Best fit for consistent access and trust rebuilding when controls and a human fallback are real.</w:t>
            </w:r>
          </w:p>
        </w:tc>
      </w:tr>
      <w:tr>
        <w:tc>
          <w:tcPr>
            <w:tcW w:type="dxa" w:w="2232"/>
            <w:vAlign w:val="top"/>
          </w:tcPr>
          <w:p>
            <w:pPr>
              <w:spacing w:after="0"/>
            </w:pPr>
            <w:r/>
            <w:r>
              <w:rPr>
                <w:b/>
                <w:color w:val="1F4162"/>
                <w:sz w:val="15"/>
              </w:rPr>
              <w:t>Hire two bilingual medical assistants</w:t>
            </w:r>
          </w:p>
        </w:tc>
        <w:tc>
          <w:tcPr>
            <w:tcW w:type="dxa" w:w="2592"/>
            <w:vAlign w:val="top"/>
          </w:tcPr>
          <w:p>
            <w:pPr>
              <w:spacing w:after="0"/>
            </w:pPr>
            <w:r/>
            <w:r>
              <w:rPr>
                <w:b w:val="0"/>
                <w:sz w:val="15"/>
              </w:rPr>
              <w:t>Language concordance may improve rapport, but bilingual ability alone is not qualified-interpreter competence. Interpretation can conflict with clinical/administrative duties.</w:t>
            </w:r>
          </w:p>
        </w:tc>
        <w:tc>
          <w:tcPr>
            <w:tcW w:type="dxa" w:w="2592"/>
            <w:vAlign w:val="top"/>
          </w:tcPr>
          <w:p>
            <w:pPr>
              <w:spacing w:after="0"/>
            </w:pPr>
            <w:r/>
            <w:r>
              <w:rPr>
                <w:b w:val="0"/>
                <w:sz w:val="15"/>
              </w:rPr>
              <w:t>Workload, supervision, role separation, coverage, confidentiality, and continuity require HR and clinical-operations decisions.</w:t>
            </w:r>
          </w:p>
        </w:tc>
        <w:tc>
          <w:tcPr>
            <w:tcW w:type="dxa" w:w="2592"/>
            <w:vAlign w:val="top"/>
          </w:tcPr>
          <w:p>
            <w:pPr>
              <w:spacing w:after="0"/>
            </w:pPr>
            <w:r/>
            <w:r>
              <w:rPr>
                <w:b w:val="0"/>
                <w:sz w:val="15"/>
              </w:rPr>
              <w:t>Do not select on bilingual status alone; risk of role conflict and unsafe omissions is material.</w:t>
            </w:r>
          </w:p>
        </w:tc>
      </w:tr>
    </w:tbl>
    <w:p>
      <w:pPr>
        <w:pStyle w:val="Heading1"/>
      </w:pPr>
      <w:r>
        <w:t>Compliance frame: federal baseline and New York overlay</w:t>
      </w:r>
    </w:p>
    <w:p>
      <w:r>
        <w:t>Federal expectations include meaningful access for people with limited English proficiency under Title VI and the federal health-care language-access framework, including Section 1557 where it applies to the center. In practical terms, patients should be offered competent language assistance for consequential communication, at no cost or patient-borne burden, and should not be delayed or denied because they need it. This assessment is operational guidance, not legal advice; counsel should confirm the center’s current federal coverage and policy language.</w:t>
      </w:r>
    </w:p>
    <w:p>
      <w:r>
        <w:t>New York State requirements and health-care expectations may add obligations or operational detail beyond that federal baseline, including rules or policies affecting notices, consent, complaints, accessibility, documentation, and qualified interpretation in the center’s setting. The applicable state and facility requirements must be checked with counsel and current policy owners before contracting or implementation. Until confirmed, use the stricter practical control: offer a qualified interpreter, protect confidentiality, and document the service or a reasoned escalation.</w:t>
      </w:r>
    </w:p>
    <w:p>
      <w:pPr>
        <w:pStyle w:val="Heading1"/>
      </w:pPr>
      <w:r>
        <w:t>Non-negotiable practice boundaries</w:t>
      </w:r>
    </w:p>
    <w:p>
      <w:pPr>
        <w:pStyle w:val="ListBullet"/>
        <w:spacing w:after="30"/>
        <w:ind w:left="259" w:hanging="173"/>
      </w:pPr>
      <w:r>
        <w:t>Offer a qualified interpreter and meaningful language assistance; the patient is not expected to find, arrange, or pay for one.</w:t>
      </w:r>
    </w:p>
    <w:p>
      <w:pPr>
        <w:pStyle w:val="ListBullet"/>
        <w:spacing w:after="30"/>
        <w:ind w:left="259" w:hanging="173"/>
      </w:pPr>
      <w:r>
        <w:t>A patient may choose to involve a family member or support person. Staff must not make that person the default or substitute interpreter, and should actively discourage routine reliance on children or other unqualified relatives because accuracy, privacy, coercion, and safety can be compromised.</w:t>
      </w:r>
    </w:p>
    <w:p>
      <w:pPr>
        <w:pStyle w:val="ListBullet"/>
        <w:spacing w:after="30"/>
        <w:ind w:left="259" w:hanging="173"/>
      </w:pPr>
      <w:r>
        <w:t>If a chosen support person remains, preserve that choice where appropriate while still offering and making available a qualified interpreter. Interpretation must preserve accuracy and completeness; it must not omit, soften, or alter clinically material information.</w:t>
      </w:r>
    </w:p>
    <w:p>
      <w:pPr>
        <w:pStyle w:val="ListBullet"/>
        <w:spacing w:after="30"/>
        <w:ind w:left="259" w:hanging="173"/>
      </w:pPr>
      <w:r>
        <w:t>When an interpreter is temporarily unavailable, staff must pause non-urgent consequential communication, use the approved escalation/fallback, and document the attempt. An emergency may justify a narrow interim measure needed to protect immediate safety, but it does not authorize a blanket family-interpreter policy or make that exception the normal compliant model.</w:t>
      </w:r>
    </w:p>
    <w:p>
      <w:pPr>
        <w:pStyle w:val="ListBullet"/>
        <w:spacing w:after="30"/>
        <w:ind w:left="259" w:hanging="173"/>
      </w:pPr>
      <w:r>
        <w:t>Language access covers more than the visit conversation: consent, instructions, discharge or follow-up information, complaints, notices, and other material communications must be understandable in the patient’s language.</w:t>
      </w:r>
    </w:p>
    <w:p>
      <w:pPr>
        <w:pStyle w:val="Heading1"/>
      </w:pPr>
      <w:r>
        <w:t>Recommendation and controls</w:t>
      </w:r>
    </w:p>
    <w:p>
      <w:r>
        <w:t>Select the tablet model for all eight rooms. It offers the clearest path to a consistently offered qualified interpreter while reducing dependence on a single local individual—important after the breach and the resulting family-interpreting practice. It is not inherently private or accessible, so the recommendation is contingent on controls assigned to the right owners:</w:t>
      </w:r>
    </w:p>
    <w:p>
      <w:pPr>
        <w:pStyle w:val="ListBullet"/>
        <w:spacing w:after="30"/>
        <w:ind w:left="259" w:hanging="173"/>
      </w:pPr>
      <w:r>
        <w:t>Procurement/IT: require documented interpreter qualification and confidentiality commitments; authenticated access, session privacy, minimum-necessary information, secure device management, connectivity/availability testing, and an auditable incident-escalation path.</w:t>
      </w:r>
    </w:p>
    <w:p>
      <w:pPr>
        <w:pStyle w:val="ListBullet"/>
        <w:spacing w:after="30"/>
        <w:ind w:left="259" w:hanging="173"/>
      </w:pPr>
      <w:r>
        <w:t>Clinical operations: define who initiates a session, how accuracy is confirmed, when to pause care, and how an approved fallback is reached. Do not ask a bilingual employee to interpret while performing another role.</w:t>
      </w:r>
    </w:p>
    <w:p>
      <w:pPr>
        <w:pStyle w:val="ListBullet"/>
        <w:spacing w:after="30"/>
        <w:ind w:left="259" w:hanging="173"/>
      </w:pPr>
      <w:r>
        <w:t>Quality/compliance: monitor interpreter offers and refusals, exceptions, complaints, privacy incidents, and accessibility barriers; review trends with patient representatives, including Somali-speaking patients, without collecting unnecessary identifiers.</w:t>
      </w:r>
    </w:p>
    <w:p>
      <w:pPr>
        <w:pStyle w:val="ListBullet"/>
        <w:spacing w:after="30"/>
        <w:ind w:left="259" w:hanging="173"/>
      </w:pPr>
      <w:r>
        <w:t>Front-line staff: explain patient choice, offer the interpreter without charge, protect the encounter from overhearing, and record only the minimum necessary language-access information.</w:t>
      </w:r>
    </w:p>
    <w:p>
      <w:pPr>
        <w:pStyle w:val="Heading1"/>
      </w:pPr>
      <w:r>
        <w:t>Assumptions, gaps, and decision boundaries</w:t>
      </w:r>
    </w:p>
    <w:p>
      <w:r>
        <w:t>This comparison assumes the three priced choices remain broadly similar in cost per encounter and expected wait time, as stated in the brief; no price, utilization, savings, response time, vendor capability, or employee qualification is treated as known. Material gaps that could change the decision are: evidence of interpreter competence and language coverage; tablet security, uptime, accessibility, and patient usability; the actual fallback for outages; current New York applicability and center policy; staff capacity and supervision; and patient-experience feedback after the breach. If verification shows the tablet cannot provide a qualified, private, usable connection with a reliable fallback, the finance committee should pause approval and return the compliance question for reassessment—not silently default to family interpretation.</w:t>
      </w:r>
    </w:p>
    <w:p>
      <w:r>
        <w:t>This recommendation identifies compliance implications only. Finance approves the budget; procurement negotiates terms; IT/security validates technology; HR and clinical operations decide hiring, supervision, and treatment workflow; counsel confirms legal applicability and state detail. None of those owners’ decisions is made here.</w:t>
      </w:r>
    </w:p>
    <w:p>
      <w:pPr>
        <w:spacing w:before="140" w:after="0"/>
      </w:pPr>
      <w:r>
        <w:rPr>
          <w:b/>
          <w:color w:val="1F4162"/>
        </w:rPr>
        <w:t xml:space="preserve">DECISION  </w:t>
      </w:r>
      <w:r>
        <w:rPr>
          <w:b/>
        </w:rPr>
        <w:t>The finance committee should approve interpreter tablets in all eight rooms, with the controls and ownership boundaries above, as Fenwick Street Community Health Center’s language-access direction for the December transition.</w:t>
      </w:r>
    </w:p>
    <w:sectPr w:rsidR="00FC693F" w:rsidRPr="0006063C" w:rsidSect="00034616">
      <w:footerReference w:type="default" r:id="rId9"/>
      <w:pgSz w:w="12240" w:h="15840"/>
      <w:pgMar w:top="792" w:right="936" w:bottom="720"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6"/>
      </w:rPr>
      <w:t xml:space="preserve">Fenwick Street Community Health Center  |  Internal compliance assessment  |  Page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47" w:lineRule="auto"/>
    </w:pPr>
    <w:rPr>
      <w:rFonts w:ascii="Aptos" w:hAnsi="Aptos" w:eastAsia="Apto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40" w:after="40"/>
      <w:outlineLvl w:val="0"/>
    </w:pPr>
    <w:rPr>
      <w:rFonts w:asciiTheme="majorHAnsi" w:eastAsiaTheme="majorEastAsia" w:hAnsiTheme="majorHAnsi" w:cstheme="majorBidi" w:ascii="Aptos Display" w:hAnsi="Aptos Display" w:eastAsia="Aptos Display"/>
      <w:b/>
      <w:bCs/>
      <w:color w:val="1F4162"/>
      <w:sz w:val="24"/>
      <w:szCs w:val="28"/>
    </w:rPr>
  </w:style>
  <w:style w:type="paragraph" w:styleId="Heading2">
    <w:name w:val="heading 2"/>
    <w:basedOn w:val="Normal"/>
    <w:next w:val="Normal"/>
    <w:link w:val="Heading2Char"/>
    <w:uiPriority w:val="9"/>
    <w:unhideWhenUsed/>
    <w:qFormat/>
    <w:rsid w:val="00FC693F"/>
    <w:pPr>
      <w:keepNext/>
      <w:keepLines/>
      <w:spacing w:before="80" w:after="20"/>
      <w:outlineLvl w:val="1"/>
    </w:pPr>
    <w:rPr>
      <w:rFonts w:asciiTheme="majorHAnsi" w:eastAsiaTheme="majorEastAsia" w:hAnsiTheme="majorHAnsi" w:cstheme="majorBidi" w:ascii="Aptos Display" w:hAnsi="Aptos Display" w:eastAsia="Aptos Display"/>
      <w:b/>
      <w:bCs/>
      <w:color w:val="37536B"/>
      <w:sz w:val="2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