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Item Master and UOM Design Review Source</w:t>
      </w:r>
    </w:p>
    <w:p>
      <w:r>
        <w:t>Prepared for the Aldenmere Fluid Power January cutover review. This document is the sole supplied source for the decision-memo workbook.</w:t>
      </w:r>
    </w:p>
    <w:p>
      <w:pPr>
        <w:pStyle w:val="Heading1"/>
      </w:pPr>
      <w:r>
        <w:t>Operating context</w:t>
      </w:r>
    </w:p>
    <w:p>
      <w:r>
        <w:t>Aldenmere Fluid Power is integrating the acquired hose-and-fittings item masters from Birchmoor Engineering and Tanneryside Industries. The January cutover is approaching. Customers may continue quoting old part numbers on purchase orders. Case GTINs must remain unique. Bin labels and the legacy WMS cannot hold two UOMs per location. The cutover has one quiet week.</w:t>
      </w:r>
    </w:p>
    <w:p>
      <w:pPr>
        <w:pStyle w:val="Heading1"/>
      </w:pPr>
      <w:r>
        <w:t>Candidate design options</w:t>
      </w:r>
    </w:p>
    <w:p>
      <w:pPr>
        <w:pStyle w:val="ListBullet"/>
      </w:pPr>
      <w:r>
        <w:t>One golden SKU with an alias table</w:t>
      </w:r>
    </w:p>
    <w:p>
      <w:pPr>
        <w:pStyle w:val="ListBullet"/>
      </w:pPr>
      <w:r>
        <w:t>Parallel SKUs mapped at order entry</w:t>
      </w:r>
    </w:p>
    <w:p>
      <w:pPr>
        <w:pStyle w:val="ListBullet"/>
      </w:pPr>
      <w:r>
        <w:t>Retiring the acquired numbers outright</w:t>
      </w:r>
    </w:p>
    <w:p>
      <w:r>
        <w:t>These are the three workable approaches already under discussion; the source does not select one.</w:t>
      </w:r>
    </w:p>
    <w:p>
      <w:pPr>
        <w:pStyle w:val="Heading1"/>
      </w:pPr>
      <w:r>
        <w:t>Permitted closed vocabularies</w:t>
      </w:r>
    </w:p>
    <w:p>
      <w:r>
        <w:t>Option: One golden SKU with an alias table; Parallel SKUs mapped at order entry; Retiring the acquired numbers outright</w:t>
      </w:r>
    </w:p>
    <w:p>
      <w:r>
        <w:t>Evidence type: Source document passage; System or master-data record; Customer or EDI record; Warehouse observation; Open issue log</w:t>
      </w:r>
    </w:p>
    <w:p>
      <w:r>
        <w:t>Fact/assumption/open issue: Fact; Assumption; Open issue</w:t>
      </w:r>
    </w:p>
    <w:p>
      <w:r>
        <w:t>Review status: Not started; In review; Ready for review; Blocked</w:t>
      </w:r>
    </w:p>
    <w:p>
      <w:r>
        <w:t>GTIN status: Not checked; Unique; Concern - possible duplicate; Not applicable</w:t>
      </w:r>
    </w:p>
    <w:p>
      <w:r>
        <w:t>Approval status: Draft; Pending approval; Approved; Returned for revision</w:t>
      </w:r>
    </w:p>
    <w:p>
      <w:pPr>
        <w:pStyle w:val="Heading1"/>
      </w:pPr>
      <w:r>
        <w:t>Source-field definitions</w:t>
      </w:r>
    </w:p>
    <w:p>
      <w:r>
        <w:t>Legacy number: Acquired or legacy number quoted or carried from a source business.</w:t>
      </w:r>
    </w:p>
    <w:p>
      <w:r>
        <w:t>Target item identifier: Golden or parallel item identifier proposed for the target item master.</w:t>
      </w:r>
    </w:p>
    <w:p>
      <w:r>
        <w:t>Description: Item description carried into the target record.</w:t>
      </w:r>
    </w:p>
    <w:p>
      <w:r>
        <w:t>Source UOM: Unit of measure on the acquired or legacy record.</w:t>
      </w:r>
    </w:p>
    <w:p>
      <w:r>
        <w:t>Target UOM: Unit of measure proposed for the target record.</w:t>
      </w:r>
    </w:p>
    <w:p>
      <w:r>
        <w:t>Conversion or packaging note: Evidence-backed conversion, pack, or packaging detail.</w:t>
      </w:r>
    </w:p>
    <w:p>
      <w:r>
        <w:t>GTIN status: Status of case GTIN uniqueness or checking.</w:t>
      </w:r>
    </w:p>
    <w:p>
      <w:r>
        <w:t>Location consequence: Bin-label or location/WMS consequence.</w:t>
      </w:r>
    </w:p>
    <w:p>
      <w:r>
        <w:t>EDI consequence: EDI mapping, order-entry, or trading-partner consequence.</w:t>
      </w:r>
    </w:p>
    <w:p>
      <w:r>
        <w:t>Evidence reference: Short key pointing to a source passage or record in the register.</w:t>
      </w:r>
    </w:p>
    <w:p>
      <w:pPr>
        <w:pStyle w:val="Heading1"/>
      </w:pPr>
      <w:r>
        <w:t>Source passages and records</w:t>
      </w:r>
    </w:p>
    <w:p>
      <w:pPr>
        <w:pStyle w:val="ListBullet"/>
      </w:pPr>
      <w:r>
        <w:t>P-01 | Operating context | Aldenmere Fluid Power is integrating the acquired hose-and-fittings item masters from Birchmoor Engineering and Tanneryside Industries before the January cutover.</w:t>
      </w:r>
    </w:p>
    <w:p>
      <w:pPr>
        <w:pStyle w:val="ListBullet"/>
      </w:pPr>
      <w:r>
        <w:t>P-02 | Customer constraint | Customers may continue quoting old part numbers on purchase orders.</w:t>
      </w:r>
    </w:p>
    <w:p>
      <w:pPr>
        <w:pStyle w:val="ListBullet"/>
      </w:pPr>
      <w:r>
        <w:t>P-03 | GTIN constraint | Case GTINs must remain unique.</w:t>
      </w:r>
    </w:p>
    <w:p>
      <w:pPr>
        <w:pStyle w:val="ListBullet"/>
      </w:pPr>
      <w:r>
        <w:t>P-04 | Warehouse constraint | Bin labels and the legacy WMS cannot hold two UOMs per location.</w:t>
      </w:r>
    </w:p>
    <w:p>
      <w:pPr>
        <w:pStyle w:val="ListBullet"/>
      </w:pPr>
      <w:r>
        <w:t>P-05 | Timing constraint | The cutover has one quiet week.</w:t>
      </w:r>
    </w:p>
    <w:p>
      <w:pPr>
        <w:pStyle w:val="ListBullet"/>
      </w:pPr>
      <w:r>
        <w:t>P-06 | Governance note | The design review compares the three candidate options and records evidence, unresolved issues, and approval; it does not prescribe a preferred option.</w:t>
      </w:r>
    </w:p>
    <w:p>
      <w:pPr>
        <w:pStyle w:val="ListBullet"/>
      </w:pPr>
      <w:r>
        <w:t>R-01 | Source-field record | Legacy number, target item identifier, description, source UOM, target UOM, conversion or packaging note, GTIN status, location consequence, EDI consequence, and evidence reference are the fields to carry through the cross-reference.</w:t>
      </w:r>
    </w:p>
    <w:p>
      <w:pPr>
        <w:pStyle w:val="Heading1"/>
      </w:pPr>
      <w:r>
        <w:t>Classification guidance</w:t>
      </w:r>
    </w:p>
    <w:p>
      <w:r>
        <w:t>A Fact is wording directly supported by a cited source passage or record. An Assumption is a working premise that is not yet proven by the supplied source. An Open issue is a material question or conflict that still needs an owner, evidence, or decision. Preserve the source wording in the register; do not silently rewrite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