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167C80"/>
          <w:sz w:val="16"/>
        </w:rPr>
        <w:t>DECISION BRIEFING</w:t>
      </w:r>
    </w:p>
    <w:p>
      <w:pPr>
        <w:spacing w:after="40"/>
      </w:pPr>
      <w:r>
        <w:rPr>
          <w:rFonts w:ascii="Aptos" w:hAnsi="Aptos"/>
          <w:b/>
          <w:i w:val="0"/>
          <w:color w:val="17324D"/>
          <w:sz w:val="38"/>
        </w:rPr>
        <w:t>A practical route out of informal technology support</w:t>
      </w:r>
    </w:p>
    <w:p>
      <w:pPr>
        <w:spacing w:after="140"/>
      </w:pPr>
      <w:r>
        <w:rPr>
          <w:rFonts w:ascii="Aptos" w:hAnsi="Aptos"/>
          <w:b w:val="0"/>
          <w:i w:val="0"/>
          <w:color w:val="5B6770"/>
          <w:sz w:val="17"/>
        </w:rPr>
        <w:t>Prepared by Lorcan Egwuatu, Kestrel Lane Advisory  |  For Karin Abara and the member-elected technology panel  |  14 October decision</w:t>
      </w:r>
    </w:p>
    <w:tbl>
      <w:tblPr>
        <w:tblW w:type="auto" w:w="0"/>
        <w:jc w:val="center"/>
        <w:tblLayout w:type="fixed"/>
        <w:tblLook w:firstColumn="1" w:firstRow="1" w:lastColumn="0" w:lastRow="0" w:noHBand="0" w:noVBand="1" w:val="04A0"/>
      </w:tblPr>
      <w:tblGrid>
        <w:gridCol w:w="3485"/>
        <w:gridCol w:w="3485"/>
        <w:gridCol w:w="3485"/>
      </w:tblGrid>
      <w:tr>
        <w:tc>
          <w:tcPr>
            <w:tcW w:type="dxa" w:w="2952"/>
            <w:shd w:fill="EAF3F3"/>
            <w:tcMar>
              <w:top w:w="80" w:type="dxa"/>
              <w:start w:w="100" w:type="dxa"/>
              <w:bottom w:w="80" w:type="dxa"/>
              <w:end w:w="100" w:type="dxa"/>
            </w:tcMar>
            <w:vAlign w:val="center"/>
          </w:tcPr>
          <w:p>
            <w:pPr>
              <w:spacing w:after="20"/>
            </w:pPr>
            <w:r>
              <w:rPr>
                <w:rFonts w:ascii="Aptos" w:hAnsi="Aptos"/>
                <w:b/>
                <w:i w:val="0"/>
                <w:color w:val="167C80"/>
                <w:sz w:val="14"/>
              </w:rPr>
              <w:t>ASK</w:t>
            </w:r>
          </w:p>
          <w:p>
            <w:pPr>
              <w:spacing w:after="0"/>
            </w:pPr>
            <w:r>
              <w:rPr>
                <w:rFonts w:ascii="Aptos" w:hAnsi="Aptos"/>
                <w:b/>
                <w:i w:val="0"/>
                <w:color w:val="1F2933"/>
                <w:sz w:val="16"/>
              </w:rPr>
              <w:t>Fund a paid, bounded discovery engagement</w:t>
            </w:r>
          </w:p>
        </w:tc>
        <w:tc>
          <w:tcPr>
            <w:tcW w:type="dxa" w:w="2952"/>
            <w:shd w:fill="EAF3F3"/>
            <w:tcMar>
              <w:top w:w="80" w:type="dxa"/>
              <w:start w:w="100" w:type="dxa"/>
              <w:bottom w:w="80" w:type="dxa"/>
              <w:end w:w="100" w:type="dxa"/>
            </w:tcMar>
            <w:vAlign w:val="center"/>
          </w:tcPr>
          <w:p>
            <w:pPr>
              <w:spacing w:after="20"/>
            </w:pPr>
            <w:r>
              <w:rPr>
                <w:rFonts w:ascii="Aptos" w:hAnsi="Aptos"/>
                <w:b/>
                <w:i w:val="0"/>
                <w:color w:val="167C80"/>
                <w:sz w:val="14"/>
              </w:rPr>
              <w:t>DURATION</w:t>
            </w:r>
          </w:p>
          <w:p>
            <w:pPr>
              <w:spacing w:after="0"/>
            </w:pPr>
            <w:r>
              <w:rPr>
                <w:rFonts w:ascii="Aptos" w:hAnsi="Aptos"/>
                <w:b/>
                <w:i w:val="0"/>
                <w:color w:val="1F2933"/>
                <w:sz w:val="16"/>
              </w:rPr>
              <w:t>12 weeks from mobilisation to handover</w:t>
            </w:r>
          </w:p>
        </w:tc>
        <w:tc>
          <w:tcPr>
            <w:tcW w:type="dxa" w:w="2952"/>
            <w:shd w:fill="EAF3F3"/>
            <w:tcMar>
              <w:top w:w="80" w:type="dxa"/>
              <w:start w:w="100" w:type="dxa"/>
              <w:bottom w:w="80" w:type="dxa"/>
              <w:end w:w="100" w:type="dxa"/>
            </w:tcMar>
            <w:vAlign w:val="center"/>
          </w:tcPr>
          <w:p>
            <w:pPr>
              <w:spacing w:after="20"/>
            </w:pPr>
            <w:r>
              <w:rPr>
                <w:rFonts w:ascii="Aptos" w:hAnsi="Aptos"/>
                <w:b/>
                <w:i w:val="0"/>
                <w:color w:val="167C80"/>
                <w:sz w:val="14"/>
              </w:rPr>
              <w:t>FEE</w:t>
            </w:r>
          </w:p>
          <w:p>
            <w:pPr>
              <w:spacing w:after="0"/>
            </w:pPr>
            <w:r>
              <w:rPr>
                <w:rFonts w:ascii="Aptos" w:hAnsi="Aptos"/>
                <w:b/>
                <w:i w:val="0"/>
                <w:color w:val="1F2933"/>
                <w:sz w:val="16"/>
              </w:rPr>
              <w:t>£18,600 fixed fee, excluding VAT and agreed travel</w:t>
            </w:r>
          </w:p>
        </w:tc>
      </w:tr>
    </w:tbl>
    <w:p>
      <w:pPr>
        <w:spacing w:before="100" w:after="40"/>
      </w:pPr>
      <w:r>
        <w:rPr>
          <w:rFonts w:ascii="Aptos Display" w:hAnsi="Aptos Display"/>
          <w:b/>
          <w:color w:val="17324D"/>
          <w:sz w:val="24"/>
        </w:rPr>
        <w:t>Why this decision matters</w:t>
      </w:r>
    </w:p>
    <w:p>
      <w:pPr>
        <w:spacing w:before="0" w:after="60" w:line="216" w:lineRule="exact"/>
      </w:pPr>
      <w:r>
        <w:rPr>
          <w:rFonts w:ascii="Aptos" w:hAnsi="Aptos"/>
          <w:b w:val="0"/>
          <w:i w:val="0"/>
          <w:color w:val="1F2933"/>
          <w:sz w:val="18"/>
        </w:rPr>
        <w:t>Saltmarsh Growers Co-operative has reached the point where goodwill is not enough. Two members who are “good with computers” have kept things moving, but informal fixes can create single-person dependency, inconsistent records and access, lost knowledge, and security exposure. They also make it hard for the panel to compare needs fairly. This engagement replaces improvisation with shared evidence and agreed choices—not a consultant-owned answer.</w:t>
      </w:r>
    </w:p>
    <w:p>
      <w:pPr>
        <w:spacing w:before="0" w:after="60" w:line="216" w:lineRule="exact"/>
      </w:pPr>
      <w:r>
        <w:rPr>
          <w:rFonts w:ascii="Aptos" w:hAnsi="Aptos"/>
          <w:b w:val="0"/>
          <w:i w:val="0"/>
          <w:color w:val="1F2933"/>
          <w:sz w:val="18"/>
        </w:rPr>
        <w:t>It is deliberately similar in scale to a small service organisation: listen first, make the facts visible, then agree the order of work. It is not a technical design exercise and does not assume the panel needs to know specialist language.</w:t>
      </w:r>
    </w:p>
    <w:p>
      <w:pPr>
        <w:spacing w:before="100" w:after="40"/>
      </w:pPr>
      <w:r>
        <w:rPr>
          <w:rFonts w:ascii="Aptos Display" w:hAnsi="Aptos Display"/>
          <w:b/>
          <w:color w:val="17324D"/>
          <w:sz w:val="24"/>
        </w:rPr>
        <w:t>What Kestrel Lane will do in 12 weeks</w:t>
      </w:r>
    </w:p>
    <w:p>
      <w:pPr>
        <w:spacing w:after="40" w:line="212" w:lineRule="exact"/>
      </w:pPr>
      <w:r>
        <w:rPr>
          <w:rFonts w:ascii="Aptos" w:hAnsi="Aptos"/>
          <w:b/>
          <w:i w:val="0"/>
          <w:color w:val="1F2933"/>
          <w:sz w:val="17"/>
        </w:rPr>
        <w:t xml:space="preserve">Weeks 1–2 — Mobilisation and scope. </w:t>
      </w:r>
      <w:r>
        <w:rPr>
          <w:rFonts w:ascii="Aptos" w:hAnsi="Aptos"/>
          <w:b w:val="0"/>
          <w:i w:val="0"/>
          <w:color w:val="1F2933"/>
          <w:sz w:val="17"/>
        </w:rPr>
        <w:t>Confirm the questions, name owners, arrange access and interviews, and agree how gaps will be recorded.</w:t>
      </w:r>
    </w:p>
    <w:p>
      <w:pPr>
        <w:spacing w:after="40" w:line="212" w:lineRule="exact"/>
      </w:pPr>
      <w:r>
        <w:rPr>
          <w:rFonts w:ascii="Aptos" w:hAnsi="Aptos"/>
          <w:b/>
          <w:i w:val="0"/>
          <w:color w:val="1F2933"/>
          <w:sz w:val="17"/>
        </w:rPr>
        <w:t xml:space="preserve">Weeks 3–6 — Discovery and baseline. </w:t>
      </w:r>
      <w:r>
        <w:rPr>
          <w:rFonts w:ascii="Aptos" w:hAnsi="Aptos"/>
          <w:b w:val="0"/>
          <w:i w:val="0"/>
          <w:color w:val="1F2933"/>
          <w:sz w:val="17"/>
        </w:rPr>
        <w:t>Hear from members and volunteers; review day-to-day working practices, information handling, pain points, risks, and current ownership. At the end of Week 6, the technology panel decides whether to accept, revise, defer, or reject the evidence-based priorities.</w:t>
      </w:r>
    </w:p>
    <w:p>
      <w:pPr>
        <w:spacing w:after="40" w:line="212" w:lineRule="exact"/>
      </w:pPr>
      <w:r>
        <w:rPr>
          <w:rFonts w:ascii="Aptos" w:hAnsi="Aptos"/>
          <w:b/>
          <w:i w:val="0"/>
          <w:color w:val="1F2933"/>
          <w:sz w:val="17"/>
        </w:rPr>
        <w:t xml:space="preserve">Weeks 7–10 — Prioritisation and validation. </w:t>
      </w:r>
      <w:r>
        <w:rPr>
          <w:rFonts w:ascii="Aptos" w:hAnsi="Aptos"/>
          <w:b w:val="0"/>
          <w:i w:val="0"/>
          <w:color w:val="1F2933"/>
          <w:sz w:val="17"/>
        </w:rPr>
        <w:t>Order possible improvements by member value, urgency, effort, risk, and confidence in the evidence. Saltmarsh reviews the findings in a working session; Kestrel Lane corrects misunderstandings before drafting the roadmap.</w:t>
      </w:r>
    </w:p>
    <w:p>
      <w:pPr>
        <w:spacing w:after="60" w:line="212" w:lineRule="exact"/>
      </w:pPr>
      <w:r>
        <w:rPr>
          <w:rFonts w:ascii="Aptos" w:hAnsi="Aptos"/>
          <w:b/>
          <w:i w:val="0"/>
          <w:color w:val="1F2933"/>
          <w:sz w:val="17"/>
        </w:rPr>
        <w:t xml:space="preserve">Weeks 11–12 — Decision package and handover. </w:t>
      </w:r>
      <w:r>
        <w:rPr>
          <w:rFonts w:ascii="Aptos" w:hAnsi="Aptos"/>
          <w:b w:val="0"/>
          <w:i w:val="0"/>
          <w:color w:val="1F2933"/>
          <w:sz w:val="17"/>
        </w:rPr>
        <w:t>Complete the roadmap, decision record, and ownership handover. In Week 12, the panel reviews and accepts the discovery outputs.</w:t>
      </w:r>
    </w:p>
    <w:p>
      <w:r>
        <w:br w:type="page"/>
      </w:r>
    </w:p>
    <w:p>
      <w:pPr>
        <w:spacing w:before="100" w:after="40"/>
      </w:pPr>
      <w:r>
        <w:rPr>
          <w:rFonts w:ascii="Aptos Display" w:hAnsi="Aptos Display"/>
          <w:b/>
          <w:color w:val="17324D"/>
          <w:sz w:val="24"/>
        </w:rPr>
        <w:t>What you will receive—and what you will not</w:t>
      </w:r>
    </w:p>
    <w:p>
      <w:pPr>
        <w:spacing w:before="0" w:after="60" w:line="216" w:lineRule="exact"/>
      </w:pPr>
      <w:r>
        <w:rPr>
          <w:rFonts w:ascii="Aptos" w:hAnsi="Aptos"/>
          <w:b w:val="0"/>
          <w:i w:val="0"/>
          <w:color w:val="1F2933"/>
          <w:sz w:val="18"/>
        </w:rPr>
        <w:t>The end product is a decision-quality plan: an agreed current-state baseline; a clear evidence log showing confidence, assumptions and unanswered questions; a prioritised 12-week-to-longer-term roadmap; risks and dependencies; a decision record; and a handover pack owned by Saltmarsh. The roadmap will make later choices easier, including whether any separate implementation or purchase is worth authorising.</w:t>
      </w:r>
    </w:p>
    <w:p>
      <w:pPr>
        <w:spacing w:after="80" w:line="216" w:lineRule="exact"/>
      </w:pPr>
      <w:r>
        <w:rPr>
          <w:rFonts w:ascii="Aptos" w:hAnsi="Aptos"/>
          <w:b/>
          <w:i w:val="0"/>
          <w:color w:val="17324D"/>
          <w:sz w:val="18"/>
        </w:rPr>
        <w:t xml:space="preserve">This engagement does not deliver a working system, choose a product, run a procurement, or guarantee savings. </w:t>
      </w:r>
      <w:r>
        <w:rPr>
          <w:rFonts w:ascii="Aptos" w:hAnsi="Aptos"/>
          <w:b w:val="0"/>
          <w:i w:val="0"/>
          <w:color w:val="1F2933"/>
          <w:sz w:val="18"/>
        </w:rPr>
        <w:t>That boundary is useful: it lets the panel see real needs, costs, risks and ownership before committing to a solution. Findings and recommendations are not approval to buy or implement anything; those remain later Saltmarsh decisions.</w:t>
      </w:r>
    </w:p>
    <w:p>
      <w:pPr>
        <w:spacing w:before="100" w:after="40"/>
      </w:pPr>
      <w:r>
        <w:rPr>
          <w:rFonts w:ascii="Aptos Display" w:hAnsi="Aptos Display"/>
          <w:b/>
          <w:color w:val="17324D"/>
          <w:sz w:val="24"/>
        </w:rPr>
        <w:t>How Saltmarsh stays in control</w:t>
      </w:r>
    </w:p>
    <w:p>
      <w:pPr>
        <w:spacing w:before="0" w:after="60" w:line="216" w:lineRule="exact"/>
      </w:pPr>
      <w:r>
        <w:rPr>
          <w:rFonts w:ascii="Aptos" w:hAnsi="Aptos"/>
          <w:b w:val="0"/>
          <w:i w:val="0"/>
          <w:color w:val="1F2933"/>
          <w:sz w:val="18"/>
        </w:rPr>
        <w:t>Kestrel Lane will work alongside named Saltmarsh owners, not in a black box. Karin Abara sponsors access and decisions; a panel representative confirms priorities; the two volunteer helpers contribute their knowledge but do not make unilateral technology choices. Shared review sessions, plain-language working notes, a maintained decision record and a handover session mean the co-operative keeps the reasoning as well as the files. After handover, the panel can use the roadmap without ongoing advisory dependency.</w:t>
      </w:r>
    </w:p>
    <w:p>
      <w:pPr>
        <w:spacing w:before="0" w:after="60" w:line="216" w:lineRule="exact"/>
      </w:pPr>
      <w:r>
        <w:rPr>
          <w:rFonts w:ascii="Aptos" w:hAnsi="Aptos"/>
          <w:b w:val="0"/>
          <w:i w:val="0"/>
          <w:color w:val="1F2933"/>
          <w:sz w:val="18"/>
        </w:rPr>
        <w:t>Saltmarsh involvement is modest but essential: a 60-minute weekly sponsor check-in, up to eight 45-minute interviews across Weeks 3–5, timely access to relevant records, and two panel reviews (Week 6 and Week 12). The adviser manages the load and will not ask volunteers to build systems during discovery.</w:t>
      </w:r>
    </w:p>
    <w:p>
      <w:pPr>
        <w:spacing w:before="100" w:after="40"/>
      </w:pPr>
      <w:r>
        <w:rPr>
          <w:rFonts w:ascii="Aptos Display" w:hAnsi="Aptos Display"/>
          <w:b/>
          <w:color w:val="17324D"/>
          <w:sz w:val="24"/>
        </w:rPr>
        <w:t>Managing uncertainty and the spend</w:t>
      </w:r>
    </w:p>
    <w:p>
      <w:pPr>
        <w:spacing w:before="0" w:after="60" w:line="216" w:lineRule="exact"/>
      </w:pPr>
      <w:r>
        <w:rPr>
          <w:rFonts w:ascii="Aptos" w:hAnsi="Aptos"/>
          <w:b w:val="0"/>
          <w:i w:val="0"/>
          <w:color w:val="1F2933"/>
          <w:sz w:val="18"/>
        </w:rPr>
        <w:t>The £18,600 fixed fee (excluding VAT and agreed travel) covers the 12-week engagement and the outputs above. No implementation costs are included. If an interview, record, or access request cannot be completed, Kestrel Lane will log the gap, use an agreed substitute such as a group session or existing record where possible, mark the affected finding as unverified with a confidence level, and bring any material timing or scope effect to Karin and the panel. The panel—not the adviser—decides whether to accept, change, defer, or stop affected work.</w:t>
      </w:r>
    </w:p>
    <w:p>
      <w:pPr>
        <w:spacing w:before="0" w:after="80" w:line="216" w:lineRule="exact"/>
      </w:pPr>
      <w:r>
        <w:rPr>
          <w:rFonts w:ascii="Aptos" w:hAnsi="Aptos"/>
          <w:b w:val="0"/>
          <w:i w:val="0"/>
          <w:color w:val="1F2933"/>
          <w:sz w:val="18"/>
        </w:rPr>
        <w:t>This is also a safer alternative to shadow systems. Until the panel has considered the evidence, new workarounds, shared accounts, and unreviewed purchases should not be introduced by well-meaning volunteers. Urgent operational issues can be recorded and escalated through Karin for a proportionate panel decision.</w:t>
      </w:r>
    </w:p>
    <w:tbl>
      <w:tblPr>
        <w:tblW w:type="auto" w:w="0"/>
        <w:jc w:val="center"/>
        <w:tblLook w:firstColumn="1" w:firstRow="1" w:lastColumn="0" w:lastRow="0" w:noHBand="0" w:noVBand="1" w:val="04A0"/>
      </w:tblPr>
      <w:tblGrid>
        <w:gridCol w:w="10454"/>
      </w:tblGrid>
      <w:tr>
        <w:tc>
          <w:tcPr>
            <w:tcW w:type="dxa" w:w="10454"/>
            <w:shd w:fill="17324D"/>
            <w:tcMar>
              <w:top w:w="110" w:type="dxa"/>
              <w:start w:w="130" w:type="dxa"/>
              <w:bottom w:w="110" w:type="dxa"/>
              <w:end w:w="130" w:type="dxa"/>
            </w:tcMar>
          </w:tcPr>
          <w:p>
            <w:pPr>
              <w:spacing w:after="0"/>
            </w:pPr>
            <w:r>
              <w:rPr>
                <w:rFonts w:ascii="Aptos" w:hAnsi="Aptos"/>
                <w:b/>
                <w:i w:val="0"/>
                <w:color w:val="FFFFFF"/>
                <w:sz w:val="18"/>
              </w:rPr>
              <w:t>RECOMMENDATION  |  Fund Kestrel Lane Advisory’s £18,600 fixed-fee, 12-week discovery-and-roadmap engagement. It gives Saltmarsh an owned, evidence-tested route to decide what—if anything—to implement next, without committing the co-operative to a working system, product purchase, or continuing consultancy.</w:t>
            </w:r>
          </w:p>
        </w:tc>
      </w:tr>
    </w:tbl>
    <w:sectPr w:rsidR="00FC693F" w:rsidRPr="0006063C" w:rsidSect="00034616">
      <w:headerReference w:type="default" r:id="rId9"/>
      <w:footerReference w:type="default" r:id="rId10"/>
      <w:pgSz w:w="12240" w:h="15840"/>
      <w:pgMar w:top="749" w:right="893" w:bottom="749"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770"/>
        <w:sz w:val="15"/>
      </w:rPr>
      <w:t xml:space="preserve">Saltmarsh Growers Co-operative  •  Discovery &amp; roadmap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B6770"/>
        <w:sz w:val="15"/>
      </w:rPr>
      <w:t>KESTREL LANE ADVISORY  |  decision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