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893" w:hRule="exact"/>
          <w:cantSplit/>
        </w:trPr>
        <w:tc>
          <w:tcPr>
            <w:tcW w:type="dxa" w:w="7776"/>
            <w:vAlign w:val="center"/>
            <w:gridSpan w:val="2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OREGON REGISTERED APPRENTICESHIP LESSON PLAN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sz w:val="14"/>
              </w:rPr>
              <w:t>Fixed competency content and planned hours are prescribed before issue. Complete the remaining fields by hand during supervision or assessment.</w:t>
            </w:r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1123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 statement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672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Performance criteria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1930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of assessment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  <w:r/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Planned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Apprentice name and date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Supervisor name and sign-off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Assessment outcome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4"/>
      </w:rPr>
      <w:t>OR-AP-LESSON-PLAN  |  Rev. June 2025  |  Oregon  |  Standards snapshot: 30 June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