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w:hAnsi="Aptos" w:eastAsia="Aptos"/>
          <w:b/>
          <w:i w:val="0"/>
          <w:color w:val="173B4D"/>
          <w:sz w:val="36"/>
        </w:rPr>
        <w:t>Revised Emergency-Access Control Standard</w:t>
      </w:r>
    </w:p>
    <w:p>
      <w:pPr>
        <w:spacing w:after="180"/>
        <w:jc w:val="center"/>
      </w:pPr>
      <w:r>
        <w:rPr>
          <w:rFonts w:ascii="Aptos" w:hAnsi="Aptos" w:eastAsia="Aptos"/>
          <w:b/>
          <w:i w:val="0"/>
          <w:color w:val="2C6773"/>
          <w:sz w:val="18"/>
        </w:rPr>
        <w:t>Wrenfield Health Network | Marchbank Holdings transition</w:t>
      </w:r>
    </w:p>
    <w:tbl>
      <w:tblPr>
        <w:tblW w:type="auto" w:w="0"/>
        <w:tblLayout w:type="fixed"/>
        <w:tblLook w:firstColumn="1" w:firstRow="1" w:lastColumn="0" w:lastRow="0" w:noHBand="0" w:noVBand="1" w:val="04A0"/>
      </w:tblPr>
      <w:tblGrid>
        <w:gridCol w:w="3110"/>
        <w:gridCol w:w="3226"/>
        <w:gridCol w:w="3283"/>
      </w:tblGrid>
      <w:tr>
        <w:trPr>
          <w:tblHeader w:val="true"/>
        </w:trPr>
        <w:tc>
          <w:tcPr>
            <w:tcW w:type="dxa" w:w="3110"/>
            <w:vAlign w:val="top"/>
            <w:tcMar>
              <w:top w:w="66" w:type="dxa"/>
              <w:start w:w="84" w:type="dxa"/>
              <w:bottom w:w="66" w:type="dxa"/>
              <w:end w:w="84" w:type="dxa"/>
            </w:tcMar>
            <w:tcBorders>
              <w:top w:val="single" w:sz="6" w:color="C6D3D8"/>
              <w:left w:val="single" w:sz="6" w:color="C6D3D8"/>
              <w:bottom w:val="single" w:sz="6" w:color="C6D3D8"/>
              <w:right w:val="single" w:sz="6" w:color="C6D3D8"/>
            </w:tcBorders>
            <w:shd w:fill="173B4D"/>
          </w:tcPr>
          <w:p>
            <w:pPr>
              <w:spacing w:after="0" w:line="182" w:lineRule="exact"/>
            </w:pPr>
            <w:r>
              <w:rPr>
                <w:rFonts w:ascii="Aptos" w:hAnsi="Aptos" w:eastAsia="Aptos"/>
                <w:b/>
                <w:i w:val="0"/>
                <w:color w:val="FFFFFF"/>
                <w:sz w:val="15"/>
              </w:rPr>
              <w:t>Instrument</w:t>
            </w:r>
          </w:p>
        </w:tc>
        <w:tc>
          <w:tcPr>
            <w:tcW w:type="dxa" w:w="3226"/>
            <w:vAlign w:val="top"/>
            <w:tcMar>
              <w:top w:w="66" w:type="dxa"/>
              <w:start w:w="84" w:type="dxa"/>
              <w:bottom w:w="66" w:type="dxa"/>
              <w:end w:w="84" w:type="dxa"/>
            </w:tcMar>
            <w:tcBorders>
              <w:top w:val="single" w:sz="6" w:color="C6D3D8"/>
              <w:left w:val="single" w:sz="6" w:color="C6D3D8"/>
              <w:bottom w:val="single" w:sz="6" w:color="C6D3D8"/>
              <w:right w:val="single" w:sz="6" w:color="C6D3D8"/>
            </w:tcBorders>
            <w:shd w:fill="173B4D"/>
          </w:tcPr>
          <w:p>
            <w:pPr>
              <w:spacing w:after="0" w:line="182" w:lineRule="exact"/>
            </w:pPr>
            <w:r>
              <w:rPr>
                <w:rFonts w:ascii="Aptos" w:hAnsi="Aptos" w:eastAsia="Aptos"/>
                <w:b/>
                <w:i w:val="0"/>
                <w:color w:val="FFFFFF"/>
                <w:sz w:val="15"/>
              </w:rPr>
              <w:t>Evidence anchor</w:t>
            </w:r>
          </w:p>
        </w:tc>
        <w:tc>
          <w:tcPr>
            <w:tcW w:type="dxa" w:w="3283"/>
            <w:vAlign w:val="top"/>
            <w:tcMar>
              <w:top w:w="66" w:type="dxa"/>
              <w:start w:w="84" w:type="dxa"/>
              <w:bottom w:w="66" w:type="dxa"/>
              <w:end w:w="84" w:type="dxa"/>
            </w:tcMar>
            <w:tcBorders>
              <w:top w:val="single" w:sz="6" w:color="C6D3D8"/>
              <w:left w:val="single" w:sz="6" w:color="C6D3D8"/>
              <w:bottom w:val="single" w:sz="6" w:color="C6D3D8"/>
              <w:right w:val="single" w:sz="6" w:color="C6D3D8"/>
            </w:tcBorders>
            <w:shd w:fill="173B4D"/>
          </w:tcPr>
          <w:p>
            <w:pPr>
              <w:spacing w:after="0" w:line="182" w:lineRule="exact"/>
            </w:pPr>
            <w:r>
              <w:rPr>
                <w:rFonts w:ascii="Aptos" w:hAnsi="Aptos" w:eastAsia="Aptos"/>
                <w:b/>
                <w:i w:val="0"/>
                <w:color w:val="FFFFFF"/>
                <w:sz w:val="15"/>
              </w:rPr>
              <w:t>Current status</w:t>
            </w:r>
          </w:p>
        </w:tc>
      </w:tr>
      <w:tr>
        <w:tc>
          <w:tcPr>
            <w:tcW w:type="dxa" w:w="3110"/>
            <w:vAlign w:val="top"/>
            <w:tcMar>
              <w:top w:w="66" w:type="dxa"/>
              <w:start w:w="84" w:type="dxa"/>
              <w:bottom w:w="66" w:type="dxa"/>
              <w:end w:w="84" w:type="dxa"/>
            </w:tcMar>
            <w:tcBorders>
              <w:top w:val="single" w:sz="6" w:color="C6D3D8"/>
              <w:left w:val="single" w:sz="6" w:color="C6D3D8"/>
              <w:bottom w:val="single" w:sz="6" w:color="C6D3D8"/>
              <w:right w:val="single" w:sz="6" w:color="C6D3D8"/>
            </w:tcBorders>
            <w:shd w:fill="FFFFFF"/>
          </w:tcPr>
          <w:p>
            <w:pPr>
              <w:spacing w:after="0" w:line="182" w:lineRule="exact"/>
            </w:pPr>
            <w:r>
              <w:rPr>
                <w:rFonts w:ascii="Aptos" w:hAnsi="Aptos" w:eastAsia="Aptos"/>
                <w:b w:val="0"/>
                <w:i w:val="0"/>
                <w:color w:val="25343B"/>
                <w:sz w:val="15"/>
              </w:rPr>
              <w:t>Enterprise control standard</w:t>
            </w:r>
          </w:p>
        </w:tc>
        <w:tc>
          <w:tcPr>
            <w:tcW w:type="dxa" w:w="3226"/>
            <w:vAlign w:val="top"/>
            <w:tcMar>
              <w:top w:w="66" w:type="dxa"/>
              <w:start w:w="84" w:type="dxa"/>
              <w:bottom w:w="66" w:type="dxa"/>
              <w:end w:w="84" w:type="dxa"/>
            </w:tcMar>
            <w:tcBorders>
              <w:top w:val="single" w:sz="6" w:color="C6D3D8"/>
              <w:left w:val="single" w:sz="6" w:color="C6D3D8"/>
              <w:bottom w:val="single" w:sz="6" w:color="C6D3D8"/>
              <w:right w:val="single" w:sz="6" w:color="C6D3D8"/>
            </w:tcBorders>
            <w:shd w:fill="FFFFFF"/>
          </w:tcPr>
          <w:p>
            <w:pPr>
              <w:spacing w:after="0" w:line="182" w:lineRule="exact"/>
            </w:pPr>
            <w:r>
              <w:rPr>
                <w:rFonts w:ascii="Aptos" w:hAnsi="Aptos" w:eastAsia="Aptos"/>
                <w:b w:val="0"/>
                <w:i w:val="0"/>
                <w:color w:val="25343B"/>
                <w:sz w:val="15"/>
              </w:rPr>
              <w:t>Frozen snapshot as of 30 June 2025</w:t>
            </w:r>
          </w:p>
        </w:tc>
        <w:tc>
          <w:tcPr>
            <w:tcW w:type="dxa" w:w="3283"/>
            <w:vAlign w:val="top"/>
            <w:tcMar>
              <w:top w:w="66" w:type="dxa"/>
              <w:start w:w="84" w:type="dxa"/>
              <w:bottom w:w="66" w:type="dxa"/>
              <w:end w:w="84" w:type="dxa"/>
            </w:tcMar>
            <w:tcBorders>
              <w:top w:val="single" w:sz="6" w:color="C6D3D8"/>
              <w:left w:val="single" w:sz="6" w:color="C6D3D8"/>
              <w:bottom w:val="single" w:sz="6" w:color="C6D3D8"/>
              <w:right w:val="single" w:sz="6" w:color="C6D3D8"/>
            </w:tcBorders>
            <w:shd w:fill="FFFFFF"/>
          </w:tcPr>
          <w:p>
            <w:pPr>
              <w:spacing w:after="0" w:line="182" w:lineRule="exact"/>
            </w:pPr>
            <w:r>
              <w:rPr>
                <w:rFonts w:ascii="Aptos" w:hAnsi="Aptos" w:eastAsia="Aptos"/>
                <w:b w:val="0"/>
                <w:i w:val="0"/>
                <w:color w:val="25343B"/>
                <w:sz w:val="15"/>
              </w:rPr>
              <w:t>Transitional standard; intended enterprise end state stated below</w:t>
            </w:r>
          </w:p>
        </w:tc>
      </w:tr>
    </w:tbl>
    <w:p>
      <w:pPr>
        <w:pStyle w:val="Heading1"/>
        <w:keepNext/>
      </w:pPr>
      <w:r>
        <w:rPr>
          <w:rFonts w:ascii="Aptos" w:hAnsi="Aptos" w:eastAsia="Aptos"/>
          <w:b/>
          <w:i w:val="0"/>
          <w:color w:val="173B4D"/>
          <w:sz w:val="24"/>
        </w:rPr>
        <w:t>1. Purpose, scope, and evidence position</w:t>
      </w:r>
    </w:p>
    <w:p>
      <w:pPr/>
      <w:r>
        <w:rPr>
          <w:rFonts w:ascii="Aptos" w:hAnsi="Aptos" w:eastAsia="Aptos"/>
          <w:b w:val="0"/>
          <w:i w:val="0"/>
          <w:color w:val="25343B"/>
          <w:sz w:val="17"/>
        </w:rPr>
        <w:t>This standard states the enterprise control boundary for emergency or break-glass access to patient and clinical records. It applies to the workforce and support actors who initiate, facilitate, record, review, or oversee that access, including clinical, privacy, security, audit, and governance functions. It is not confined to one department and does not make an individual finding about any person or event.</w:t>
      </w:r>
    </w:p>
    <w:p>
      <w:pPr/>
      <w:r>
        <w:rPr>
          <w:rFonts w:ascii="Aptos" w:hAnsi="Aptos" w:eastAsia="Aptos"/>
          <w:b/>
          <w:i w:val="0"/>
          <w:color w:val="25343B"/>
          <w:sz w:val="17"/>
        </w:rPr>
        <w:t xml:space="preserve">Evidence anchor. </w:t>
      </w:r>
      <w:r>
        <w:rPr>
          <w:rFonts w:ascii="Aptos" w:hAnsi="Aptos" w:eastAsia="Aptos"/>
          <w:b w:val="0"/>
          <w:i w:val="0"/>
          <w:color w:val="25343B"/>
          <w:sz w:val="17"/>
        </w:rPr>
        <w:t>The evidence position is anchored solely to the External Control Office Frozen Emergency Access Control Snapshot as of 30 June 2025. Source observations are stated as observations; the provisions headed as standards are normative control requirements. The snapshot is material only as of that date and is not treated as a reconstruction of later or unreviewed history.</w:t>
      </w:r>
    </w:p>
    <w:tbl>
      <w:tblPr>
        <w:tblW w:type="auto" w:w="0"/>
        <w:tblLayout w:type="fixed"/>
        <w:tblLook w:firstColumn="1" w:firstRow="1" w:lastColumn="0" w:lastRow="0" w:noHBand="0" w:noVBand="1" w:val="04A0"/>
      </w:tblPr>
      <w:tblGrid>
        <w:gridCol w:w="4810"/>
        <w:gridCol w:w="4810"/>
      </w:tblGrid>
      <w:tr>
        <w:tc>
          <w:tcPr>
            <w:tcW w:type="dxa" w:w="4810"/>
            <w:vAlign w:val="top"/>
            <w:shd w:fill="EDF3F6"/>
            <w:tcMar>
              <w:top w:w="90" w:type="dxa"/>
              <w:start w:w="110" w:type="dxa"/>
              <w:bottom w:w="95" w:type="dxa"/>
              <w:end w:w="110" w:type="dxa"/>
            </w:tcMar>
            <w:tcBorders>
              <w:top w:val="single" w:sz="10" w:color="C6D3D8"/>
              <w:left w:val="single" w:sz="10" w:color="C6D3D8"/>
              <w:bottom w:val="single" w:sz="10" w:color="C6D3D8"/>
              <w:right w:val="single" w:sz="10" w:color="C6D3D8"/>
            </w:tcBorders>
          </w:tcPr>
          <w:p>
            <w:pPr>
              <w:spacing w:after="40"/>
            </w:pPr>
            <w:r>
              <w:rPr>
                <w:rFonts w:ascii="Aptos" w:hAnsi="Aptos" w:eastAsia="Aptos"/>
                <w:b/>
                <w:i w:val="0"/>
                <w:color w:val="2C6773"/>
                <w:sz w:val="14"/>
              </w:rPr>
              <w:t>FACTUAL OBSERVATION</w:t>
            </w:r>
          </w:p>
          <w:p>
            <w:pPr>
              <w:spacing w:after="0" w:line="192" w:lineRule="exact"/>
            </w:pPr>
            <w:r>
              <w:rPr>
                <w:rFonts w:ascii="Aptos" w:hAnsi="Aptos" w:eastAsia="Aptos"/>
                <w:b w:val="0"/>
                <w:i w:val="0"/>
                <w:color w:val="25343B"/>
                <w:sz w:val="16"/>
              </w:rPr>
              <w:t>The snapshot supports the existence of specified records, stated control labels, duplicate representation, malformed or unresolved codes, and inconsistent emergency-related labels.</w:t>
            </w:r>
          </w:p>
        </w:tc>
        <w:tc>
          <w:tcPr>
            <w:tcW w:type="dxa" w:w="4810"/>
            <w:vAlign w:val="top"/>
            <w:shd w:fill="E8F1F1"/>
            <w:tcMar>
              <w:top w:w="90" w:type="dxa"/>
              <w:start w:w="110" w:type="dxa"/>
              <w:bottom w:w="95" w:type="dxa"/>
              <w:end w:w="110" w:type="dxa"/>
            </w:tcMar>
            <w:tcBorders>
              <w:top w:val="single" w:sz="10" w:color="C6D3D8"/>
              <w:left w:val="single" w:sz="10" w:color="C6D3D8"/>
              <w:bottom w:val="single" w:sz="10" w:color="C6D3D8"/>
              <w:right w:val="single" w:sz="10" w:color="C6D3D8"/>
            </w:tcBorders>
          </w:tcPr>
          <w:p>
            <w:pPr>
              <w:spacing w:after="40"/>
            </w:pPr>
            <w:r>
              <w:rPr>
                <w:rFonts w:ascii="Aptos" w:hAnsi="Aptos" w:eastAsia="Aptos"/>
                <w:b/>
                <w:i w:val="0"/>
                <w:color w:val="2C6773"/>
                <w:sz w:val="14"/>
              </w:rPr>
              <w:t>NORMATIVE STATUS</w:t>
            </w:r>
          </w:p>
          <w:p>
            <w:pPr>
              <w:spacing w:after="0" w:line="192" w:lineRule="exact"/>
            </w:pPr>
            <w:r>
              <w:rPr>
                <w:rFonts w:ascii="Aptos" w:hAnsi="Aptos" w:eastAsia="Aptos"/>
                <w:b w:val="0"/>
                <w:i w:val="0"/>
                <w:color w:val="25343B"/>
                <w:sz w:val="16"/>
              </w:rPr>
              <w:t>This standard supplies a single control expression for the transition. A record’s label or presence in a log is not, by itself, proof that it met that expression.</w:t>
            </w:r>
          </w:p>
        </w:tc>
      </w:tr>
    </w:tbl>
    <w:p>
      <w:pPr>
        <w:spacing w:after="0"/>
      </w:pPr>
    </w:p>
    <w:p>
      <w:pPr/>
      <w:r>
        <w:rPr>
          <w:rFonts w:ascii="Aptos" w:hAnsi="Aptos" w:eastAsia="Aptos"/>
          <w:b/>
          <w:i w:val="0"/>
          <w:color w:val="25343B"/>
          <w:sz w:val="17"/>
        </w:rPr>
        <w:t xml:space="preserve">Constrained evidence-status fallback. </w:t>
      </w:r>
      <w:r>
        <w:rPr>
          <w:rFonts w:ascii="Aptos" w:hAnsi="Aptos" w:eastAsia="Aptos"/>
          <w:b w:val="0"/>
          <w:i w:val="0"/>
          <w:color w:val="25343B"/>
          <w:sz w:val="17"/>
        </w:rPr>
        <w:t>The source records a 48-hour review window and no complete historical-log reconstruction or patient-by-patient validation. During that bounded period, an item that cannot be reconciled to the available event and code evidence remains unresolved for evidence purposes: it is neither deemed compliant nor deemed unauthorized solely from a label, missing value, or malformed value. That fallback preserves uncertainty; it is not a claim that full reconciliation or patient-by-patient validation has occurred.</w:t>
      </w:r>
    </w:p>
    <w:p>
      <w:pPr>
        <w:pStyle w:val="Heading1"/>
        <w:keepNext/>
      </w:pPr>
      <w:r>
        <w:rPr>
          <w:rFonts w:ascii="Aptos" w:hAnsi="Aptos" w:eastAsia="Aptos"/>
          <w:b/>
          <w:i w:val="0"/>
          <w:color w:val="173B4D"/>
          <w:sz w:val="24"/>
        </w:rPr>
        <w:t>2. Snapshot-supported control register and emergency boundary</w:t>
      </w:r>
    </w:p>
    <w:p>
      <w:pPr/>
      <w:r>
        <w:rPr>
          <w:rFonts w:ascii="Aptos" w:hAnsi="Aptos" w:eastAsia="Aptos"/>
          <w:b w:val="0"/>
          <w:i w:val="0"/>
          <w:color w:val="25343B"/>
          <w:sz w:val="17"/>
        </w:rPr>
        <w:t>The following labels and meanings are supported by the frozen snapshot. Their inclusion preserves the source vocabulary; it does not convert every historical use of a label into proof of conformity.</w:t>
      </w:r>
    </w:p>
    <w:tbl>
      <w:tblPr>
        <w:tblW w:type="auto" w:w="0"/>
        <w:tblLayout w:type="fixed"/>
        <w:tblLook w:firstColumn="1" w:firstRow="1" w:lastColumn="0" w:lastRow="0" w:noHBand="0" w:noVBand="1" w:val="04A0"/>
      </w:tblPr>
      <w:tblGrid>
        <w:gridCol w:w="1181"/>
        <w:gridCol w:w="8438"/>
      </w:tblGrid>
      <w:tr>
        <w:trPr>
          <w:tblHeader w:val="true"/>
        </w:trPr>
        <w:tc>
          <w:tcPr>
            <w:tcW w:type="dxa" w:w="1181"/>
            <w:vAlign w:val="top"/>
            <w:tcMar>
              <w:top w:w="66" w:type="dxa"/>
              <w:start w:w="84" w:type="dxa"/>
              <w:bottom w:w="66" w:type="dxa"/>
              <w:end w:w="84" w:type="dxa"/>
            </w:tcMar>
            <w:tcBorders>
              <w:top w:val="single" w:sz="6" w:color="C6D3D8"/>
              <w:left w:val="single" w:sz="6" w:color="C6D3D8"/>
              <w:bottom w:val="single" w:sz="6" w:color="C6D3D8"/>
              <w:right w:val="single" w:sz="6" w:color="C6D3D8"/>
            </w:tcBorders>
            <w:shd w:fill="173B4D"/>
          </w:tcPr>
          <w:p>
            <w:pPr>
              <w:spacing w:after="0" w:line="182" w:lineRule="exact"/>
            </w:pPr>
            <w:r>
              <w:rPr>
                <w:rFonts w:ascii="Aptos" w:hAnsi="Aptos" w:eastAsia="Aptos"/>
                <w:b/>
                <w:i w:val="0"/>
                <w:color w:val="FFFFFF"/>
                <w:sz w:val="15"/>
              </w:rPr>
              <w:t>Label</w:t>
            </w:r>
          </w:p>
        </w:tc>
        <w:tc>
          <w:tcPr>
            <w:tcW w:type="dxa" w:w="8438"/>
            <w:vAlign w:val="top"/>
            <w:tcMar>
              <w:top w:w="66" w:type="dxa"/>
              <w:start w:w="84" w:type="dxa"/>
              <w:bottom w:w="66" w:type="dxa"/>
              <w:end w:w="84" w:type="dxa"/>
            </w:tcMar>
            <w:tcBorders>
              <w:top w:val="single" w:sz="6" w:color="C6D3D8"/>
              <w:left w:val="single" w:sz="6" w:color="C6D3D8"/>
              <w:bottom w:val="single" w:sz="6" w:color="C6D3D8"/>
              <w:right w:val="single" w:sz="6" w:color="C6D3D8"/>
            </w:tcBorders>
            <w:shd w:fill="173B4D"/>
          </w:tcPr>
          <w:p>
            <w:pPr>
              <w:spacing w:after="0" w:line="182" w:lineRule="exact"/>
            </w:pPr>
            <w:r>
              <w:rPr>
                <w:rFonts w:ascii="Aptos" w:hAnsi="Aptos" w:eastAsia="Aptos"/>
                <w:b/>
                <w:i w:val="0"/>
                <w:color w:val="FFFFFF"/>
                <w:sz w:val="15"/>
              </w:rPr>
              <w:t>Snapshot-supported control meaning</w:t>
            </w:r>
          </w:p>
        </w:tc>
      </w:tr>
      <w:tr>
        <w:tc>
          <w:tcPr>
            <w:tcW w:type="dxa" w:w="1181"/>
            <w:vAlign w:val="top"/>
            <w:tcMar>
              <w:top w:w="66" w:type="dxa"/>
              <w:start w:w="84" w:type="dxa"/>
              <w:bottom w:w="66" w:type="dxa"/>
              <w:end w:w="84" w:type="dxa"/>
            </w:tcMar>
            <w:tcBorders>
              <w:top w:val="single" w:sz="6" w:color="C6D3D8"/>
              <w:left w:val="single" w:sz="6" w:color="C6D3D8"/>
              <w:bottom w:val="single" w:sz="6" w:color="C6D3D8"/>
              <w:right w:val="single" w:sz="6" w:color="C6D3D8"/>
            </w:tcBorders>
            <w:shd w:fill="E8F1F1"/>
          </w:tcPr>
          <w:p>
            <w:pPr>
              <w:spacing w:after="0" w:line="182" w:lineRule="exact"/>
            </w:pPr>
            <w:r>
              <w:rPr>
                <w:rFonts w:ascii="Aptos" w:hAnsi="Aptos" w:eastAsia="Aptos"/>
                <w:b/>
                <w:i w:val="0"/>
                <w:color w:val="173B4D"/>
                <w:sz w:val="15"/>
              </w:rPr>
              <w:t>EAC-01</w:t>
            </w:r>
          </w:p>
        </w:tc>
        <w:tc>
          <w:tcPr>
            <w:tcW w:type="dxa" w:w="8438"/>
            <w:vAlign w:val="top"/>
            <w:tcMar>
              <w:top w:w="66" w:type="dxa"/>
              <w:start w:w="84" w:type="dxa"/>
              <w:bottom w:w="66" w:type="dxa"/>
              <w:end w:w="84" w:type="dxa"/>
            </w:tcMar>
            <w:tcBorders>
              <w:top w:val="single" w:sz="6" w:color="C6D3D8"/>
              <w:left w:val="single" w:sz="6" w:color="C6D3D8"/>
              <w:bottom w:val="single" w:sz="6" w:color="C6D3D8"/>
              <w:right w:val="single" w:sz="6" w:color="C6D3D8"/>
            </w:tcBorders>
            <w:shd w:fill="FFFFFF"/>
          </w:tcPr>
          <w:p>
            <w:pPr>
              <w:spacing w:after="0" w:line="182" w:lineRule="exact"/>
            </w:pPr>
            <w:r>
              <w:rPr>
                <w:rFonts w:ascii="Aptos" w:hAnsi="Aptos" w:eastAsia="Aptos"/>
                <w:b w:val="0"/>
                <w:i w:val="0"/>
                <w:color w:val="25343B"/>
                <w:sz w:val="15"/>
              </w:rPr>
              <w:t>Emergency access is limited to an immediate patient-safety or continuity-of-care risk where ordinary authorization is unavailable or delay through it would create harmful delay.</w:t>
            </w:r>
          </w:p>
        </w:tc>
      </w:tr>
      <w:tr>
        <w:tc>
          <w:tcPr>
            <w:tcW w:type="dxa" w:w="1181"/>
            <w:vAlign w:val="top"/>
            <w:tcMar>
              <w:top w:w="66" w:type="dxa"/>
              <w:start w:w="84" w:type="dxa"/>
              <w:bottom w:w="66" w:type="dxa"/>
              <w:end w:w="84" w:type="dxa"/>
            </w:tcMar>
            <w:tcBorders>
              <w:top w:val="single" w:sz="6" w:color="C6D3D8"/>
              <w:left w:val="single" w:sz="6" w:color="C6D3D8"/>
              <w:bottom w:val="single" w:sz="6" w:color="C6D3D8"/>
              <w:right w:val="single" w:sz="6" w:color="C6D3D8"/>
            </w:tcBorders>
            <w:shd w:fill="EDF3F6"/>
          </w:tcPr>
          <w:p>
            <w:pPr>
              <w:spacing w:after="0" w:line="182" w:lineRule="exact"/>
            </w:pPr>
            <w:r>
              <w:rPr>
                <w:rFonts w:ascii="Aptos" w:hAnsi="Aptos" w:eastAsia="Aptos"/>
                <w:b/>
                <w:i w:val="0"/>
                <w:color w:val="173B4D"/>
                <w:sz w:val="15"/>
              </w:rPr>
              <w:t>EAC-02</w:t>
            </w:r>
          </w:p>
        </w:tc>
        <w:tc>
          <w:tcPr>
            <w:tcW w:type="dxa" w:w="8438"/>
            <w:vAlign w:val="top"/>
            <w:tcMar>
              <w:top w:w="66" w:type="dxa"/>
              <w:start w:w="84" w:type="dxa"/>
              <w:bottom w:w="66" w:type="dxa"/>
              <w:end w:w="84" w:type="dxa"/>
            </w:tcMar>
            <w:tcBorders>
              <w:top w:val="single" w:sz="6" w:color="C6D3D8"/>
              <w:left w:val="single" w:sz="6" w:color="C6D3D8"/>
              <w:bottom w:val="single" w:sz="6" w:color="C6D3D8"/>
              <w:right w:val="single" w:sz="6" w:color="C6D3D8"/>
            </w:tcBorders>
            <w:shd w:fill="F5F7F8"/>
          </w:tcPr>
          <w:p>
            <w:pPr>
              <w:spacing w:after="0" w:line="182" w:lineRule="exact"/>
            </w:pPr>
            <w:r>
              <w:rPr>
                <w:rFonts w:ascii="Aptos" w:hAnsi="Aptos" w:eastAsia="Aptos"/>
                <w:b w:val="0"/>
                <w:i w:val="0"/>
                <w:color w:val="25343B"/>
                <w:sz w:val="15"/>
              </w:rPr>
              <w:t>The event record must contain the actor, event time, affected patient/record or entity reference, reason for access, and outcome or review reference sufficient to assess the event.</w:t>
            </w:r>
          </w:p>
        </w:tc>
      </w:tr>
      <w:tr>
        <w:tc>
          <w:tcPr>
            <w:tcW w:type="dxa" w:w="1181"/>
            <w:vAlign w:val="top"/>
            <w:tcMar>
              <w:top w:w="66" w:type="dxa"/>
              <w:start w:w="84" w:type="dxa"/>
              <w:bottom w:w="66" w:type="dxa"/>
              <w:end w:w="84" w:type="dxa"/>
            </w:tcMar>
            <w:tcBorders>
              <w:top w:val="single" w:sz="6" w:color="C6D3D8"/>
              <w:left w:val="single" w:sz="6" w:color="C6D3D8"/>
              <w:bottom w:val="single" w:sz="6" w:color="C6D3D8"/>
              <w:right w:val="single" w:sz="6" w:color="C6D3D8"/>
            </w:tcBorders>
            <w:shd w:fill="E8F1F1"/>
          </w:tcPr>
          <w:p>
            <w:pPr>
              <w:spacing w:after="0" w:line="182" w:lineRule="exact"/>
            </w:pPr>
            <w:r>
              <w:rPr>
                <w:rFonts w:ascii="Aptos" w:hAnsi="Aptos" w:eastAsia="Aptos"/>
                <w:b/>
                <w:i w:val="0"/>
                <w:color w:val="173B4D"/>
                <w:sz w:val="15"/>
              </w:rPr>
              <w:t>EAC-03</w:t>
            </w:r>
          </w:p>
        </w:tc>
        <w:tc>
          <w:tcPr>
            <w:tcW w:type="dxa" w:w="8438"/>
            <w:vAlign w:val="top"/>
            <w:tcMar>
              <w:top w:w="66" w:type="dxa"/>
              <w:start w:w="84" w:type="dxa"/>
              <w:bottom w:w="66" w:type="dxa"/>
              <w:end w:w="84" w:type="dxa"/>
            </w:tcMar>
            <w:tcBorders>
              <w:top w:val="single" w:sz="6" w:color="C6D3D8"/>
              <w:left w:val="single" w:sz="6" w:color="C6D3D8"/>
              <w:bottom w:val="single" w:sz="6" w:color="C6D3D8"/>
              <w:right w:val="single" w:sz="6" w:color="C6D3D8"/>
            </w:tcBorders>
            <w:shd w:fill="FFFFFF"/>
          </w:tcPr>
          <w:p>
            <w:pPr>
              <w:spacing w:after="0" w:line="182" w:lineRule="exact"/>
            </w:pPr>
            <w:r>
              <w:rPr>
                <w:rFonts w:ascii="Aptos" w:hAnsi="Aptos" w:eastAsia="Aptos"/>
                <w:b w:val="0"/>
                <w:i w:val="0"/>
                <w:color w:val="25343B"/>
                <w:sz w:val="15"/>
              </w:rPr>
              <w:t>Emergency-access activity is subject to retrospective review; review is an accountability control and is not original authorization.</w:t>
            </w:r>
          </w:p>
        </w:tc>
      </w:tr>
      <w:tr>
        <w:tc>
          <w:tcPr>
            <w:tcW w:type="dxa" w:w="1181"/>
            <w:vAlign w:val="top"/>
            <w:tcMar>
              <w:top w:w="66" w:type="dxa"/>
              <w:start w:w="84" w:type="dxa"/>
              <w:bottom w:w="66" w:type="dxa"/>
              <w:end w:w="84" w:type="dxa"/>
            </w:tcMar>
            <w:tcBorders>
              <w:top w:val="single" w:sz="6" w:color="C6D3D8"/>
              <w:left w:val="single" w:sz="6" w:color="C6D3D8"/>
              <w:bottom w:val="single" w:sz="6" w:color="C6D3D8"/>
              <w:right w:val="single" w:sz="6" w:color="C6D3D8"/>
            </w:tcBorders>
            <w:shd w:fill="EDF3F6"/>
          </w:tcPr>
          <w:p>
            <w:pPr>
              <w:spacing w:after="0" w:line="182" w:lineRule="exact"/>
            </w:pPr>
            <w:r>
              <w:rPr>
                <w:rFonts w:ascii="Aptos" w:hAnsi="Aptos" w:eastAsia="Aptos"/>
                <w:b/>
                <w:i w:val="0"/>
                <w:color w:val="173B4D"/>
                <w:sz w:val="15"/>
              </w:rPr>
              <w:t>DAT-02</w:t>
            </w:r>
          </w:p>
        </w:tc>
        <w:tc>
          <w:tcPr>
            <w:tcW w:type="dxa" w:w="8438"/>
            <w:vAlign w:val="top"/>
            <w:tcMar>
              <w:top w:w="66" w:type="dxa"/>
              <w:start w:w="84" w:type="dxa"/>
              <w:bottom w:w="66" w:type="dxa"/>
              <w:end w:w="84" w:type="dxa"/>
            </w:tcMar>
            <w:tcBorders>
              <w:top w:val="single" w:sz="6" w:color="C6D3D8"/>
              <w:left w:val="single" w:sz="6" w:color="C6D3D8"/>
              <w:bottom w:val="single" w:sz="6" w:color="C6D3D8"/>
              <w:right w:val="single" w:sz="6" w:color="C6D3D8"/>
            </w:tcBorders>
            <w:shd w:fill="F5F7F8"/>
          </w:tcPr>
          <w:p>
            <w:pPr>
              <w:spacing w:after="0" w:line="182" w:lineRule="exact"/>
            </w:pPr>
            <w:r>
              <w:rPr>
                <w:rFonts w:ascii="Aptos" w:hAnsi="Aptos" w:eastAsia="Aptos"/>
                <w:b w:val="0"/>
                <w:i w:val="0"/>
                <w:color w:val="25343B"/>
                <w:sz w:val="15"/>
              </w:rPr>
              <w:t>Audit and justification records use the minimum necessary patient identifier and related detail for the purpose of understanding and assessing the event.</w:t>
            </w:r>
          </w:p>
        </w:tc>
      </w:tr>
      <w:tr>
        <w:tc>
          <w:tcPr>
            <w:tcW w:type="dxa" w:w="1181"/>
            <w:vAlign w:val="top"/>
            <w:tcMar>
              <w:top w:w="66" w:type="dxa"/>
              <w:start w:w="84" w:type="dxa"/>
              <w:bottom w:w="66" w:type="dxa"/>
              <w:end w:w="84" w:type="dxa"/>
            </w:tcMar>
            <w:tcBorders>
              <w:top w:val="single" w:sz="6" w:color="C6D3D8"/>
              <w:left w:val="single" w:sz="6" w:color="C6D3D8"/>
              <w:bottom w:val="single" w:sz="6" w:color="C6D3D8"/>
              <w:right w:val="single" w:sz="6" w:color="C6D3D8"/>
            </w:tcBorders>
            <w:shd w:fill="E8F1F1"/>
          </w:tcPr>
          <w:p>
            <w:pPr>
              <w:spacing w:after="0" w:line="182" w:lineRule="exact"/>
            </w:pPr>
            <w:r>
              <w:rPr>
                <w:rFonts w:ascii="Aptos" w:hAnsi="Aptos" w:eastAsia="Aptos"/>
                <w:b/>
                <w:i w:val="0"/>
                <w:color w:val="173B4D"/>
                <w:sz w:val="15"/>
              </w:rPr>
              <w:t>AUD-04</w:t>
            </w:r>
          </w:p>
        </w:tc>
        <w:tc>
          <w:tcPr>
            <w:tcW w:type="dxa" w:w="8438"/>
            <w:vAlign w:val="top"/>
            <w:tcMar>
              <w:top w:w="66" w:type="dxa"/>
              <w:start w:w="84" w:type="dxa"/>
              <w:bottom w:w="66" w:type="dxa"/>
              <w:end w:w="84" w:type="dxa"/>
            </w:tcMar>
            <w:tcBorders>
              <w:top w:val="single" w:sz="6" w:color="C6D3D8"/>
              <w:left w:val="single" w:sz="6" w:color="C6D3D8"/>
              <w:bottom w:val="single" w:sz="6" w:color="C6D3D8"/>
              <w:right w:val="single" w:sz="6" w:color="C6D3D8"/>
            </w:tcBorders>
            <w:shd w:fill="FFFFFF"/>
          </w:tcPr>
          <w:p>
            <w:pPr>
              <w:spacing w:after="0" w:line="182" w:lineRule="exact"/>
            </w:pPr>
            <w:r>
              <w:rPr>
                <w:rFonts w:ascii="Aptos" w:hAnsi="Aptos" w:eastAsia="Aptos"/>
                <w:b w:val="0"/>
                <w:i w:val="0"/>
                <w:color w:val="25343B"/>
                <w:sz w:val="15"/>
              </w:rPr>
              <w:t>Audit records use a canonical entity-code concept and preserve event integrity; malformed or unresolved codes are evidence limitations, not grounds for silent inference.</w:t>
            </w:r>
          </w:p>
        </w:tc>
      </w:tr>
    </w:tbl>
    <w:p>
      <w:pPr/>
      <w:r>
        <w:rPr>
          <w:rFonts w:ascii="Aptos" w:hAnsi="Aptos" w:eastAsia="Aptos"/>
          <w:b/>
          <w:i w:val="0"/>
          <w:color w:val="25343B"/>
          <w:sz w:val="17"/>
        </w:rPr>
        <w:t xml:space="preserve">Emergency-access criterion. </w:t>
      </w:r>
      <w:r>
        <w:rPr>
          <w:rFonts w:ascii="Aptos" w:hAnsi="Aptos" w:eastAsia="Aptos"/>
          <w:b w:val="0"/>
          <w:i w:val="0"/>
          <w:color w:val="25343B"/>
          <w:sz w:val="17"/>
        </w:rPr>
        <w:t>Emergency access is limited to an immediate patient-safety or continuity-of-care risk where ordinary authorization is unavailable, or delay through the ordinary path would create harmful delay. Both the immediate risk and the unavailable-or-harmful-delay ordinary-authorization condition are required. The terms emergency, urgent, and break-glass are recorded labels, not independent proof that this criterion was met.</w:t>
      </w:r>
    </w:p>
    <w:p>
      <w:pPr/>
      <w:r>
        <w:rPr>
          <w:rFonts w:ascii="Aptos" w:hAnsi="Aptos" w:eastAsia="Aptos"/>
          <w:b/>
          <w:i w:val="0"/>
          <w:color w:val="25343B"/>
          <w:sz w:val="17"/>
        </w:rPr>
        <w:t xml:space="preserve">Break-glass boundary. </w:t>
      </w:r>
      <w:r>
        <w:rPr>
          <w:rFonts w:ascii="Aptos" w:hAnsi="Aptos" w:eastAsia="Aptos"/>
          <w:b w:val="0"/>
          <w:i w:val="0"/>
          <w:color w:val="25343B"/>
          <w:sz w:val="17"/>
        </w:rPr>
        <w:t>Break-glass access is not a convenient substitute for ordinary approval where the situation is planned, routine, or capable of tolerating the ordinary authorization path. A later label, explanation, or retrospective review cannot retroactively turn a non-emergency access into a genuine emergency.</w:t>
      </w:r>
    </w:p>
    <w:p>
      <w:pPr/>
      <w:r>
        <w:rPr>
          <w:rFonts w:ascii="Aptos" w:hAnsi="Aptos" w:eastAsia="Aptos"/>
          <w:b/>
          <w:i w:val="0"/>
          <w:color w:val="25343B"/>
          <w:sz w:val="17"/>
        </w:rPr>
        <w:t xml:space="preserve">Recorded event boundary. </w:t>
      </w:r>
      <w:r>
        <w:rPr>
          <w:rFonts w:ascii="Aptos" w:hAnsi="Aptos" w:eastAsia="Aptos"/>
          <w:b w:val="0"/>
          <w:i w:val="0"/>
          <w:color w:val="25343B"/>
          <w:sz w:val="17"/>
        </w:rPr>
        <w:t>A log row establishes only that an access event or its representation was recorded. The separate questions of necessity, emergency status, authorization, and compliance require the applicable contemporaneous event context; they are not resolved by a record’s appearance or label alone.</w:t>
      </w:r>
    </w:p>
    <w:p>
      <w:pPr>
        <w:pStyle w:val="Heading1"/>
        <w:keepNext/>
      </w:pPr>
      <w:r>
        <w:rPr>
          <w:rFonts w:ascii="Aptos" w:hAnsi="Aptos" w:eastAsia="Aptos"/>
          <w:b/>
          <w:i w:val="0"/>
          <w:color w:val="173B4D"/>
          <w:sz w:val="24"/>
        </w:rPr>
        <w:t>3. Event justification and the identity-central case</w:t>
      </w:r>
    </w:p>
    <w:p>
      <w:pPr/>
      <w:r>
        <w:rPr>
          <w:rFonts w:ascii="Aptos" w:hAnsi="Aptos" w:eastAsia="Aptos"/>
          <w:b/>
          <w:i w:val="0"/>
          <w:color w:val="25343B"/>
          <w:sz w:val="17"/>
        </w:rPr>
        <w:t xml:space="preserve">Minimum event record. </w:t>
      </w:r>
      <w:r>
        <w:rPr>
          <w:rFonts w:ascii="Aptos" w:hAnsi="Aptos" w:eastAsia="Aptos"/>
          <w:b w:val="0"/>
          <w:i w:val="0"/>
          <w:color w:val="25343B"/>
          <w:sz w:val="17"/>
        </w:rPr>
        <w:t>For each emergency-access event, the justification record must contain the actor, event time, affected patient/record or entity reference, reason for access, and outcome or review reference sufficient to assess the event. A complete justification means enough contemporaneous context to assess necessity and link the access to the affected record. It does not demand an unrestricted clinical narrative.</w:t>
      </w:r>
    </w:p>
    <w:tbl>
      <w:tblPr>
        <w:tblW w:type="auto" w:w="0"/>
        <w:tblLayout w:type="fixed"/>
        <w:tblLook w:firstColumn="1" w:firstRow="1" w:lastColumn="0" w:lastRow="0" w:noHBand="0" w:noVBand="1" w:val="04A0"/>
      </w:tblPr>
      <w:tblGrid>
        <w:gridCol w:w="4810"/>
        <w:gridCol w:w="4810"/>
      </w:tblGrid>
      <w:tr>
        <w:tc>
          <w:tcPr>
            <w:tcW w:type="dxa" w:w="4810"/>
            <w:vAlign w:val="top"/>
            <w:shd w:fill="EDF3F6"/>
            <w:tcMar>
              <w:top w:w="90" w:type="dxa"/>
              <w:start w:w="110" w:type="dxa"/>
              <w:bottom w:w="95" w:type="dxa"/>
              <w:end w:w="110" w:type="dxa"/>
            </w:tcMar>
            <w:tcBorders>
              <w:top w:val="single" w:sz="10" w:color="C6D3D8"/>
              <w:left w:val="single" w:sz="10" w:color="C6D3D8"/>
              <w:bottom w:val="single" w:sz="10" w:color="C6D3D8"/>
              <w:right w:val="single" w:sz="10" w:color="C6D3D8"/>
            </w:tcBorders>
          </w:tcPr>
          <w:p>
            <w:pPr>
              <w:spacing w:after="40"/>
            </w:pPr>
            <w:r>
              <w:rPr>
                <w:rFonts w:ascii="Aptos" w:hAnsi="Aptos" w:eastAsia="Aptos"/>
                <w:b/>
                <w:i w:val="0"/>
                <w:color w:val="2C6773"/>
                <w:sz w:val="14"/>
              </w:rPr>
              <w:t>COMPLETENESS</w:t>
            </w:r>
          </w:p>
          <w:p>
            <w:pPr>
              <w:spacing w:after="0" w:line="192" w:lineRule="exact"/>
            </w:pPr>
            <w:r>
              <w:rPr>
                <w:rFonts w:ascii="Aptos" w:hAnsi="Aptos" w:eastAsia="Aptos"/>
                <w:b w:val="0"/>
                <w:i w:val="0"/>
                <w:color w:val="25343B"/>
                <w:sz w:val="16"/>
              </w:rPr>
              <w:t>The record retains the context essential to identify and understand the emergency event, assess necessity, and link the event to the affected record.</w:t>
            </w:r>
          </w:p>
        </w:tc>
        <w:tc>
          <w:tcPr>
            <w:tcW w:type="dxa" w:w="4810"/>
            <w:vAlign w:val="top"/>
            <w:shd w:fill="E8F1F1"/>
            <w:tcMar>
              <w:top w:w="90" w:type="dxa"/>
              <w:start w:w="110" w:type="dxa"/>
              <w:bottom w:w="95" w:type="dxa"/>
              <w:end w:w="110" w:type="dxa"/>
            </w:tcMar>
            <w:tcBorders>
              <w:top w:val="single" w:sz="10" w:color="C6D3D8"/>
              <w:left w:val="single" w:sz="10" w:color="C6D3D8"/>
              <w:bottom w:val="single" w:sz="10" w:color="C6D3D8"/>
              <w:right w:val="single" w:sz="10" w:color="C6D3D8"/>
            </w:tcBorders>
          </w:tcPr>
          <w:p>
            <w:pPr>
              <w:spacing w:after="40"/>
            </w:pPr>
            <w:r>
              <w:rPr>
                <w:rFonts w:ascii="Aptos" w:hAnsi="Aptos" w:eastAsia="Aptos"/>
                <w:b/>
                <w:i w:val="0"/>
                <w:color w:val="2C6773"/>
                <w:sz w:val="14"/>
              </w:rPr>
              <w:t>DATA MINIMIZATION</w:t>
            </w:r>
          </w:p>
          <w:p>
            <w:pPr>
              <w:spacing w:after="0" w:line="192" w:lineRule="exact"/>
            </w:pPr>
            <w:r>
              <w:rPr>
                <w:rFonts w:ascii="Aptos" w:hAnsi="Aptos" w:eastAsia="Aptos"/>
                <w:b w:val="0"/>
                <w:i w:val="0"/>
                <w:color w:val="25343B"/>
                <w:sz w:val="16"/>
              </w:rPr>
              <w:t>The record contains only the minimum necessary patient identifier and related detail needed for that assessment. Completeness does not authorize unrelated detail.</w:t>
            </w:r>
          </w:p>
        </w:tc>
      </w:tr>
    </w:tbl>
    <w:p>
      <w:pPr>
        <w:spacing w:after="0"/>
      </w:pPr>
    </w:p>
    <w:p>
      <w:pPr/>
      <w:r>
        <w:rPr>
          <w:rFonts w:ascii="Aptos" w:hAnsi="Aptos" w:eastAsia="Aptos"/>
          <w:b/>
          <w:i w:val="0"/>
          <w:color w:val="25343B"/>
          <w:sz w:val="17"/>
        </w:rPr>
        <w:t xml:space="preserve">Identity-central edge case. </w:t>
      </w:r>
      <w:r>
        <w:rPr>
          <w:rFonts w:ascii="Aptos" w:hAnsi="Aptos" w:eastAsia="Aptos"/>
          <w:b w:val="0"/>
          <w:i w:val="0"/>
          <w:color w:val="25343B"/>
          <w:sz w:val="17"/>
        </w:rPr>
        <w:t>Where the patient’s identity is central to understanding the emergency, the record must include only the minimum patient identifier or record reference necessary to establish that context and must state why that identifier is needed for the event. This is the deliberate balance between justification completeness and data minimization.</w:t>
      </w:r>
    </w:p>
    <w:p>
      <w:pPr/>
      <w:r>
        <w:rPr>
          <w:rFonts w:ascii="Aptos" w:hAnsi="Aptos" w:eastAsia="Aptos"/>
          <w:b/>
          <w:i w:val="0"/>
          <w:color w:val="25343B"/>
          <w:sz w:val="17"/>
        </w:rPr>
        <w:t xml:space="preserve">Paired limits. </w:t>
      </w:r>
      <w:r>
        <w:rPr>
          <w:rFonts w:ascii="Aptos" w:hAnsi="Aptos" w:eastAsia="Aptos"/>
          <w:b w:val="0"/>
          <w:i w:val="0"/>
          <w:color w:val="25343B"/>
          <w:sz w:val="17"/>
        </w:rPr>
        <w:t>Data minimization does not permit omission of information essential to identify or understand the emergency event. Conversely, a complete justification does not authorize extraneous patient identifiers or clinical detail unrelated to the access event. Neither an absolute omission rule nor an unrestricted narrative is supported by the snapshot.</w:t>
      </w:r>
    </w:p>
    <w:p>
      <w:pPr>
        <w:pStyle w:val="Heading1"/>
        <w:keepNext/>
      </w:pPr>
      <w:r>
        <w:rPr>
          <w:rFonts w:ascii="Aptos" w:hAnsi="Aptos" w:eastAsia="Aptos"/>
          <w:b/>
          <w:i w:val="0"/>
          <w:color w:val="173B4D"/>
          <w:sz w:val="24"/>
        </w:rPr>
        <w:t>4. Event integrity, code status, labels, and review</w:t>
      </w:r>
    </w:p>
    <w:p>
      <w:pPr/>
      <w:r>
        <w:rPr>
          <w:rFonts w:ascii="Aptos" w:hAnsi="Aptos" w:eastAsia="Aptos"/>
          <w:b/>
          <w:i w:val="0"/>
          <w:color w:val="25343B"/>
          <w:sz w:val="17"/>
        </w:rPr>
        <w:t xml:space="preserve">Duplicate representation. </w:t>
      </w:r>
      <w:r>
        <w:rPr>
          <w:rFonts w:ascii="Aptos" w:hAnsi="Aptos" w:eastAsia="Aptos"/>
          <w:b w:val="0"/>
          <w:i w:val="0"/>
          <w:color w:val="25343B"/>
          <w:sz w:val="17"/>
        </w:rPr>
        <w:t>Where shared event attributes establish that multiple log rows represent the same underlying access event, they are treated as one event with duplicate representations and are not counted as separate substantive access events. Similar-looking rows are not collapsed merely because a timestamp, label, or other single attribute resembles another row; genuinely distinct access events remain distinct.</w:t>
      </w:r>
    </w:p>
    <w:p>
      <w:pPr/>
      <w:r>
        <w:rPr>
          <w:rFonts w:ascii="Aptos" w:hAnsi="Aptos" w:eastAsia="Aptos"/>
          <w:b/>
          <w:i w:val="0"/>
          <w:color w:val="25343B"/>
          <w:sz w:val="17"/>
        </w:rPr>
        <w:t xml:space="preserve">Entity-code status. </w:t>
      </w:r>
      <w:r>
        <w:rPr>
          <w:rFonts w:ascii="Aptos" w:hAnsi="Aptos" w:eastAsia="Aptos"/>
          <w:b w:val="0"/>
          <w:i w:val="0"/>
          <w:color w:val="25343B"/>
          <w:sz w:val="17"/>
        </w:rPr>
        <w:t>The canonical entity-code concept is the controlled requirement under AUD-04. A legacy, absent, malformed, or unresolved code is not presented as a conforming canonical identifier and remains visibly unresolved as an evidence limitation. It is not silently repaired from an emergency-related label, and its defect does not by itself prove that access was unauthorized or that no emergency existed.</w:t>
      </w:r>
    </w:p>
    <w:p>
      <w:pPr/>
      <w:r>
        <w:rPr>
          <w:rFonts w:ascii="Aptos" w:hAnsi="Aptos" w:eastAsia="Aptos"/>
          <w:b/>
          <w:i w:val="0"/>
          <w:color w:val="25343B"/>
          <w:sz w:val="17"/>
        </w:rPr>
        <w:t xml:space="preserve">Label status. </w:t>
      </w:r>
      <w:r>
        <w:rPr>
          <w:rFonts w:ascii="Aptos" w:hAnsi="Aptos" w:eastAsia="Aptos"/>
          <w:b w:val="0"/>
          <w:i w:val="0"/>
          <w:color w:val="25343B"/>
          <w:sz w:val="17"/>
        </w:rPr>
        <w:t>Inconsistent uses of emergency, urgent, and break-glass are a control-language and evidence-consistency issue. No historical label is selected as authoritative merely because it sounds strongest. Controlled emergency-access language and canonical entity-code mappings are target-state vocabulary requirements; historical labels remain evidence of what was recorded, not proof of target-state conformity.</w:t>
      </w:r>
    </w:p>
    <w:p>
      <w:pPr/>
      <w:r>
        <w:rPr>
          <w:rFonts w:ascii="Aptos" w:hAnsi="Aptos" w:eastAsia="Aptos"/>
          <w:b/>
          <w:i w:val="0"/>
          <w:color w:val="25343B"/>
          <w:sz w:val="17"/>
        </w:rPr>
        <w:t xml:space="preserve">Retrospective review. </w:t>
      </w:r>
      <w:r>
        <w:rPr>
          <w:rFonts w:ascii="Aptos" w:hAnsi="Aptos" w:eastAsia="Aptos"/>
          <w:b w:val="0"/>
          <w:i w:val="0"/>
          <w:color w:val="25343B"/>
          <w:sz w:val="17"/>
        </w:rPr>
        <w:t>Emergency-access activity is subject to retrospective review. Review is an accountability control that may assess the event record and justification; it is not original authorization and does not cure an access that was unjustified when made.</w:t>
      </w:r>
    </w:p>
    <w:p>
      <w:pPr>
        <w:pStyle w:val="Heading1"/>
        <w:keepNext/>
      </w:pPr>
      <w:r>
        <w:rPr>
          <w:rFonts w:ascii="Aptos" w:hAnsi="Aptos" w:eastAsia="Aptos"/>
          <w:b/>
          <w:i w:val="0"/>
          <w:color w:val="173B4D"/>
          <w:sz w:val="24"/>
        </w:rPr>
        <w:t>5. Transition status and intended enterprise treatment</w:t>
      </w:r>
    </w:p>
    <w:p>
      <w:pPr/>
      <w:r>
        <w:rPr>
          <w:rFonts w:ascii="Aptos" w:hAnsi="Aptos" w:eastAsia="Aptos"/>
          <w:b/>
          <w:i w:val="0"/>
          <w:color w:val="25343B"/>
          <w:sz w:val="17"/>
        </w:rPr>
        <w:t xml:space="preserve">Transition status. </w:t>
      </w:r>
      <w:r>
        <w:rPr>
          <w:rFonts w:ascii="Aptos" w:hAnsi="Aptos" w:eastAsia="Aptos"/>
          <w:b w:val="0"/>
          <w:i w:val="0"/>
          <w:color w:val="25343B"/>
          <w:sz w:val="17"/>
        </w:rPr>
        <w:t>The legacy logging and label arrangement remains in use during the transition. Its historical records and labels may show what was recorded and may be evaluated against this standard’s evidence boundaries, but they do not automatically satisfy the enterprise target standard. This standard does not imply that the target-state treatment is already fully in force in every legacy record or system.</w:t>
      </w:r>
    </w:p>
    <w:p>
      <w:pPr/>
      <w:r>
        <w:rPr>
          <w:rFonts w:ascii="Aptos" w:hAnsi="Aptos" w:eastAsia="Aptos"/>
          <w:b/>
          <w:i w:val="0"/>
          <w:color w:val="25343B"/>
          <w:sz w:val="17"/>
        </w:rPr>
        <w:t xml:space="preserve">Intended enterprise end state. </w:t>
      </w:r>
      <w:r>
        <w:rPr>
          <w:rFonts w:ascii="Aptos" w:hAnsi="Aptos" w:eastAsia="Aptos"/>
          <w:b w:val="0"/>
          <w:i w:val="0"/>
          <w:color w:val="25343B"/>
          <w:sz w:val="17"/>
        </w:rPr>
        <w:t>The intended end state is a single enterprise treatment using controlled emergency-access language, the canonical entity-code concept, the EAC-02 event-context fields, minimum-necessary identifier treatment, and retrospective review. This expresses the target control state without treating historical legacy artifacts as current proof of uniform conformity.</w:t>
      </w:r>
    </w:p>
    <w:p>
      <w:pPr>
        <w:pStyle w:val="Heading1"/>
        <w:keepNext/>
      </w:pPr>
      <w:r>
        <w:rPr>
          <w:rFonts w:ascii="Aptos" w:hAnsi="Aptos" w:eastAsia="Aptos"/>
          <w:b/>
          <w:i w:val="0"/>
          <w:color w:val="173B4D"/>
          <w:sz w:val="24"/>
        </w:rPr>
        <w:t>6. Overall evidence position</w:t>
      </w:r>
    </w:p>
    <w:tbl>
      <w:tblPr>
        <w:tblW w:type="auto" w:w="0"/>
        <w:tblLayout w:type="fixed"/>
        <w:tblLook w:firstColumn="1" w:firstRow="1" w:lastColumn="0" w:lastRow="0" w:noHBand="0" w:noVBand="1" w:val="04A0"/>
      </w:tblPr>
      <w:tblGrid>
        <w:gridCol w:w="4810"/>
        <w:gridCol w:w="4810"/>
      </w:tblGrid>
      <w:tr>
        <w:trPr>
          <w:tblHeader w:val="true"/>
        </w:trPr>
        <w:tc>
          <w:tcPr>
            <w:tcW w:type="dxa" w:w="4810"/>
            <w:vAlign w:val="top"/>
            <w:tcMar>
              <w:top w:w="66" w:type="dxa"/>
              <w:start w:w="84" w:type="dxa"/>
              <w:bottom w:w="66" w:type="dxa"/>
              <w:end w:w="84" w:type="dxa"/>
            </w:tcMar>
            <w:tcBorders>
              <w:top w:val="single" w:sz="6" w:color="C6D3D8"/>
              <w:left w:val="single" w:sz="6" w:color="C6D3D8"/>
              <w:bottom w:val="single" w:sz="6" w:color="C6D3D8"/>
              <w:right w:val="single" w:sz="6" w:color="C6D3D8"/>
            </w:tcBorders>
            <w:shd w:fill="173B4D"/>
          </w:tcPr>
          <w:p>
            <w:pPr>
              <w:spacing w:after="0" w:line="182" w:lineRule="exact"/>
            </w:pPr>
            <w:r>
              <w:rPr>
                <w:rFonts w:ascii="Aptos" w:hAnsi="Aptos" w:eastAsia="Aptos"/>
                <w:b/>
                <w:i w:val="0"/>
                <w:color w:val="FFFFFF"/>
                <w:sz w:val="15"/>
              </w:rPr>
              <w:t>Supported by the frozen snapshot</w:t>
            </w:r>
          </w:p>
        </w:tc>
        <w:tc>
          <w:tcPr>
            <w:tcW w:type="dxa" w:w="4810"/>
            <w:vAlign w:val="top"/>
            <w:tcMar>
              <w:top w:w="66" w:type="dxa"/>
              <w:start w:w="84" w:type="dxa"/>
              <w:bottom w:w="66" w:type="dxa"/>
              <w:end w:w="84" w:type="dxa"/>
            </w:tcMar>
            <w:tcBorders>
              <w:top w:val="single" w:sz="6" w:color="C6D3D8"/>
              <w:left w:val="single" w:sz="6" w:color="C6D3D8"/>
              <w:bottom w:val="single" w:sz="6" w:color="C6D3D8"/>
              <w:right w:val="single" w:sz="6" w:color="C6D3D8"/>
            </w:tcBorders>
            <w:shd w:fill="173B4D"/>
          </w:tcPr>
          <w:p>
            <w:pPr>
              <w:spacing w:after="0" w:line="182" w:lineRule="exact"/>
            </w:pPr>
            <w:r>
              <w:rPr>
                <w:rFonts w:ascii="Aptos" w:hAnsi="Aptos" w:eastAsia="Aptos"/>
                <w:b/>
                <w:i w:val="0"/>
                <w:color w:val="FFFFFF"/>
                <w:sz w:val="15"/>
              </w:rPr>
              <w:t>Not established by the frozen snapshot</w:t>
            </w:r>
          </w:p>
        </w:tc>
      </w:tr>
      <w:tr>
        <w:tc>
          <w:tcPr>
            <w:tcW w:type="dxa" w:w="4810"/>
            <w:vAlign w:val="top"/>
            <w:tcMar>
              <w:top w:w="66" w:type="dxa"/>
              <w:start w:w="84" w:type="dxa"/>
              <w:bottom w:w="66" w:type="dxa"/>
              <w:end w:w="84" w:type="dxa"/>
            </w:tcMar>
            <w:tcBorders>
              <w:top w:val="single" w:sz="6" w:color="C6D3D8"/>
              <w:left w:val="single" w:sz="6" w:color="C6D3D8"/>
              <w:bottom w:val="single" w:sz="6" w:color="C6D3D8"/>
              <w:right w:val="single" w:sz="6" w:color="C6D3D8"/>
            </w:tcBorders>
            <w:shd w:fill="FFFFFF"/>
          </w:tcPr>
          <w:p>
            <w:pPr>
              <w:spacing w:after="0" w:line="182" w:lineRule="exact"/>
            </w:pPr>
            <w:r>
              <w:rPr>
                <w:rFonts w:ascii="Aptos" w:hAnsi="Aptos" w:eastAsia="Aptos"/>
                <w:b w:val="0"/>
                <w:i w:val="0"/>
                <w:color w:val="25343B"/>
                <w:sz w:val="15"/>
              </w:rPr>
              <w:t>The five labeled controls and their stated meanings; duplicate log representation; malformed or unresolved entity codes; inconsistent emergency-related labels; the need for event context, minimum-necessary identifiers, and retrospective review.</w:t>
            </w:r>
          </w:p>
        </w:tc>
        <w:tc>
          <w:tcPr>
            <w:tcW w:type="dxa" w:w="4810"/>
            <w:vAlign w:val="top"/>
            <w:tcMar>
              <w:top w:w="66" w:type="dxa"/>
              <w:start w:w="84" w:type="dxa"/>
              <w:bottom w:w="66" w:type="dxa"/>
              <w:end w:w="84" w:type="dxa"/>
            </w:tcMar>
            <w:tcBorders>
              <w:top w:val="single" w:sz="6" w:color="C6D3D8"/>
              <w:left w:val="single" w:sz="6" w:color="C6D3D8"/>
              <w:bottom w:val="single" w:sz="6" w:color="C6D3D8"/>
              <w:right w:val="single" w:sz="6" w:color="C6D3D8"/>
            </w:tcBorders>
            <w:shd w:fill="FFFFFF"/>
          </w:tcPr>
          <w:p>
            <w:pPr>
              <w:spacing w:after="0" w:line="182" w:lineRule="exact"/>
            </w:pPr>
            <w:r>
              <w:rPr>
                <w:rFonts w:ascii="Aptos" w:hAnsi="Aptos" w:eastAsia="Aptos"/>
                <w:b w:val="0"/>
                <w:i w:val="0"/>
                <w:color w:val="25343B"/>
                <w:sz w:val="15"/>
              </w:rPr>
              <w:t>That every access labeled emergency, urgent, or break-glass met the emergency criterion, was properly authorized, or was compliant; a log label or a log row does not independently prove those matters.</w:t>
            </w:r>
          </w:p>
        </w:tc>
      </w:tr>
      <w:tr>
        <w:tc>
          <w:tcPr>
            <w:tcW w:type="dxa" w:w="4810"/>
            <w:vAlign w:val="top"/>
            <w:tcMar>
              <w:top w:w="66" w:type="dxa"/>
              <w:start w:w="84" w:type="dxa"/>
              <w:bottom w:w="66" w:type="dxa"/>
              <w:end w:w="84" w:type="dxa"/>
            </w:tcMar>
            <w:tcBorders>
              <w:top w:val="single" w:sz="6" w:color="C6D3D8"/>
              <w:left w:val="single" w:sz="6" w:color="C6D3D8"/>
              <w:bottom w:val="single" w:sz="6" w:color="C6D3D8"/>
              <w:right w:val="single" w:sz="6" w:color="C6D3D8"/>
            </w:tcBorders>
            <w:shd w:fill="F5F7F8"/>
          </w:tcPr>
          <w:p>
            <w:pPr>
              <w:spacing w:after="0" w:line="182" w:lineRule="exact"/>
            </w:pPr>
            <w:r>
              <w:rPr>
                <w:rFonts w:ascii="Aptos" w:hAnsi="Aptos" w:eastAsia="Aptos"/>
                <w:b w:val="0"/>
                <w:i w:val="0"/>
                <w:color w:val="25343B"/>
                <w:sz w:val="15"/>
              </w:rPr>
              <w:t>A recorded access event is distinct from the separate question whether it was necessary and justified as emergency access. Historical labels evidence what was recorded.</w:t>
            </w:r>
          </w:p>
        </w:tc>
        <w:tc>
          <w:tcPr>
            <w:tcW w:type="dxa" w:w="4810"/>
            <w:vAlign w:val="top"/>
            <w:tcMar>
              <w:top w:w="66" w:type="dxa"/>
              <w:start w:w="84" w:type="dxa"/>
              <w:bottom w:w="66" w:type="dxa"/>
              <w:end w:w="84" w:type="dxa"/>
            </w:tcMar>
            <w:tcBorders>
              <w:top w:val="single" w:sz="6" w:color="C6D3D8"/>
              <w:left w:val="single" w:sz="6" w:color="C6D3D8"/>
              <w:bottom w:val="single" w:sz="6" w:color="C6D3D8"/>
              <w:right w:val="single" w:sz="6" w:color="C6D3D8"/>
            </w:tcBorders>
            <w:shd w:fill="F5F7F8"/>
          </w:tcPr>
          <w:p>
            <w:pPr>
              <w:spacing w:after="0" w:line="182" w:lineRule="exact"/>
            </w:pPr>
            <w:r>
              <w:rPr>
                <w:rFonts w:ascii="Aptos" w:hAnsi="Aptos" w:eastAsia="Aptos"/>
                <w:b w:val="0"/>
                <w:i w:val="0"/>
                <w:color w:val="25343B"/>
                <w:sz w:val="15"/>
              </w:rPr>
              <w:t>That an absent, malformed, or unresolved entity code proves unauthorized access or proves that no emergency existed; that a code or label defect decides the substantive access question.</w:t>
            </w:r>
          </w:p>
        </w:tc>
      </w:tr>
      <w:tr>
        <w:tc>
          <w:tcPr>
            <w:tcW w:type="dxa" w:w="4810"/>
            <w:vAlign w:val="top"/>
            <w:tcMar>
              <w:top w:w="66" w:type="dxa"/>
              <w:start w:w="84" w:type="dxa"/>
              <w:bottom w:w="66" w:type="dxa"/>
              <w:end w:w="84" w:type="dxa"/>
            </w:tcMar>
            <w:tcBorders>
              <w:top w:val="single" w:sz="6" w:color="C6D3D8"/>
              <w:left w:val="single" w:sz="6" w:color="C6D3D8"/>
              <w:bottom w:val="single" w:sz="6" w:color="C6D3D8"/>
              <w:right w:val="single" w:sz="6" w:color="C6D3D8"/>
            </w:tcBorders>
            <w:shd w:fill="FFFFFF"/>
          </w:tcPr>
          <w:p>
            <w:pPr>
              <w:spacing w:after="0" w:line="182" w:lineRule="exact"/>
            </w:pPr>
            <w:r>
              <w:rPr>
                <w:rFonts w:ascii="Aptos" w:hAnsi="Aptos" w:eastAsia="Aptos"/>
                <w:b w:val="0"/>
                <w:i w:val="0"/>
                <w:color w:val="25343B"/>
                <w:sz w:val="15"/>
              </w:rPr>
              <w:t>The legacy arrangement remains during transition, and the intended enterprise treatment uses controlled language, canonical entity codes, event context, and review.</w:t>
            </w:r>
          </w:p>
        </w:tc>
        <w:tc>
          <w:tcPr>
            <w:tcW w:type="dxa" w:w="4810"/>
            <w:vAlign w:val="top"/>
            <w:tcMar>
              <w:top w:w="66" w:type="dxa"/>
              <w:start w:w="84" w:type="dxa"/>
              <w:bottom w:w="66" w:type="dxa"/>
              <w:end w:w="84" w:type="dxa"/>
            </w:tcMar>
            <w:tcBorders>
              <w:top w:val="single" w:sz="6" w:color="C6D3D8"/>
              <w:left w:val="single" w:sz="6" w:color="C6D3D8"/>
              <w:bottom w:val="single" w:sz="6" w:color="C6D3D8"/>
              <w:right w:val="single" w:sz="6" w:color="C6D3D8"/>
            </w:tcBorders>
            <w:shd w:fill="FFFFFF"/>
          </w:tcPr>
          <w:p>
            <w:pPr>
              <w:spacing w:after="0" w:line="182" w:lineRule="exact"/>
            </w:pPr>
            <w:r>
              <w:rPr>
                <w:rFonts w:ascii="Aptos" w:hAnsi="Aptos" w:eastAsia="Aptos"/>
                <w:b w:val="0"/>
                <w:i w:val="0"/>
                <w:color w:val="25343B"/>
                <w:sz w:val="15"/>
              </w:rPr>
              <w:t>Universal compliance, universal non-compliance, a legal conclusion beyond the snapshot, a full historical reconciliation, patient-by-patient validation, or uniform target-state conformity in legacy records.</w:t>
            </w:r>
          </w:p>
        </w:tc>
      </w:tr>
    </w:tbl>
    <w:p>
      <w:pPr/>
      <w:r>
        <w:rPr>
          <w:rFonts w:ascii="Aptos" w:hAnsi="Aptos" w:eastAsia="Aptos"/>
          <w:b/>
          <w:i w:val="0"/>
          <w:color w:val="25343B"/>
          <w:sz w:val="17"/>
        </w:rPr>
        <w:t xml:space="preserve">Conclusion. </w:t>
      </w:r>
      <w:r>
        <w:rPr>
          <w:rFonts w:ascii="Aptos" w:hAnsi="Aptos" w:eastAsia="Aptos"/>
          <w:b w:val="0"/>
          <w:i w:val="0"/>
          <w:color w:val="25343B"/>
          <w:sz w:val="17"/>
        </w:rPr>
        <w:t>As of 30 June 2025, the frozen snapshot supports the stated control vocabulary, observed integrity and label issues, event-context requirement, minimum-necessary principle, and accountability review. It does not establish universal emergency status, authorization, compliance, non-compliance, or a broader legal conclusion. The standard therefore preserves the emergency boundary, the identity-central balance, and the transitional evidence limitation without converting imperfect historical records into conclusive findings.</w:t>
      </w:r>
    </w:p>
    <w:sectPr w:rsidR="00FC693F" w:rsidRPr="0006063C" w:rsidSect="00034616">
      <w:headerReference w:type="default" r:id="rId9"/>
      <w:footerReference w:type="default" r:id="rId10"/>
      <w:pgSz w:w="12240" w:h="15840"/>
      <w:pgMar w:top="792" w:right="893" w:bottom="806" w:left="893"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eastAsia="Aptos"/>
        <w:b w:val="0"/>
        <w:i w:val="0"/>
        <w:color w:val="5C6E77"/>
        <w:sz w:val="14"/>
      </w:rPr>
      <w:t>Evidence anchor: Frozen Emergency Access Control Snapshot, as of 2025-06-30</w:t>
    </w:r>
    <w:r>
      <w:t xml:space="preserve">        </w:t>
    </w:r>
    <w:r>
      <w:rPr>
        <w:rFonts w:ascii="Aptos" w:hAnsi="Aptos" w:eastAsia="Aptos"/>
        <w:b w:val="0"/>
        <w:i w:val="0"/>
        <w:color w:val="5C6E77"/>
        <w:sz w:val="14"/>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eastAsia="Aptos"/>
        <w:b/>
        <w:i w:val="0"/>
        <w:color w:val="5C6E77"/>
        <w:sz w:val="14"/>
      </w:rPr>
      <w:t>WRENFIELD HEALTH NETWORK  |  ENTERPRISE CONTROL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09" w:lineRule="exact"/>
    </w:pPr>
    <w:rPr>
      <w:rFonts w:ascii="Aptos" w:hAnsi="Aptos" w:eastAsia="Aptos"/>
      <w:color w:val="25343B"/>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line="288" w:lineRule="exact"/>
      <w:outlineLvl w:val="0"/>
    </w:pPr>
    <w:rPr>
      <w:rFonts w:asciiTheme="majorHAnsi" w:eastAsiaTheme="majorEastAsia" w:hAnsiTheme="majorHAnsi" w:cstheme="majorBidi" w:ascii="Aptos" w:hAnsi="Aptos" w:eastAsia="Aptos"/>
      <w:b/>
      <w:bCs/>
      <w:color w:val="173B4D"/>
      <w:sz w:val="24"/>
      <w:szCs w:val="28"/>
    </w:rPr>
  </w:style>
  <w:style w:type="paragraph" w:styleId="Heading2">
    <w:name w:val="heading 2"/>
    <w:basedOn w:val="Normal"/>
    <w:next w:val="Normal"/>
    <w:link w:val="Heading2Char"/>
    <w:uiPriority w:val="9"/>
    <w:unhideWhenUsed/>
    <w:qFormat/>
    <w:rsid w:val="00FC693F"/>
    <w:pPr>
      <w:keepNext/>
      <w:keepLines/>
      <w:spacing w:before="120" w:after="40" w:line="244" w:lineRule="exact"/>
      <w:outlineLvl w:val="1"/>
    </w:pPr>
    <w:rPr>
      <w:rFonts w:asciiTheme="majorHAnsi" w:eastAsiaTheme="majorEastAsia" w:hAnsiTheme="majorHAnsi" w:cstheme="majorBidi" w:ascii="Aptos" w:hAnsi="Aptos" w:eastAsia="Aptos"/>
      <w:b/>
      <w:bCs/>
      <w:color w:val="2C6773"/>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400" w:lineRule="exact" w:before="0"/>
      <w:contextualSpacing/>
    </w:pPr>
    <w:rPr>
      <w:rFonts w:asciiTheme="majorHAnsi" w:eastAsiaTheme="majorEastAsia" w:hAnsiTheme="majorHAnsi" w:cstheme="majorBidi" w:ascii="Aptos Display" w:hAnsi="Aptos Display" w:eastAsia="Aptos Display"/>
      <w:b/>
      <w:color w:val="173B4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Emergency-Access Control Standard</dc:title>
  <dc:subject>Wrenfield Health Network and Marchbank Holdings transition</dc:subject>
  <dc:creator>Ashgrove Chambers</dc:creator>
  <cp:keywords>emergency access, break-glass, control standard, evidence status</cp:keywords>
  <dc:description>generated by python-docx</dc:description>
  <cp:lastModifiedBy/>
  <cp:revision>1</cp:revision>
  <dcterms:created xsi:type="dcterms:W3CDTF">2013-12-23T23:15:00Z</dcterms:created>
  <dcterms:modified xsi:type="dcterms:W3CDTF">2013-12-23T23:15:00Z</dcterms:modified>
  <cp:category/>
</cp:coreProperties>
</file>