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1F415A"/>
          <w:sz w:val="34"/>
        </w:rPr>
        <w:t>Cinderhall Clinic pension access</w:t>
      </w:r>
    </w:p>
    <w:p>
      <w:pPr>
        <w:spacing w:after="40"/>
      </w:pPr>
      <w:r>
        <w:rPr>
          <w:b w:val="0"/>
          <w:color w:val="495B67"/>
          <w:sz w:val="19"/>
        </w:rPr>
        <w:t>Corrected customer case response for Hana Tanaka's approval</w:t>
      </w:r>
    </w:p>
    <w:p>
      <w:pPr>
        <w:spacing w:after="60"/>
      </w:pPr>
      <w:r>
        <w:rPr>
          <w:b/>
          <w:color w:val="1F415A"/>
          <w:sz w:val="15"/>
        </w:rPr>
        <w:t>Customer: Nils Garrido (56)  |  Legal and tax position: England, as at 14 April 2025</w:t>
      </w:r>
    </w:p>
    <w:p>
      <w:pPr>
        <w:pStyle w:val="Section"/>
        <w:spacing w:before="100" w:after="40" w:line="240" w:lineRule="auto"/>
      </w:pPr>
      <w:r>
        <w:rPr>
          <w:b/>
          <w:color w:val="1F415A"/>
          <w:sz w:val="20"/>
        </w:rPr>
        <w:t>Current objective and terminology</w:t>
      </w:r>
    </w:p>
    <w:p>
      <w:pPr>
        <w:pStyle w:val="Body"/>
        <w:spacing w:before="0" w:after="40" w:line="240" w:lineRule="auto"/>
      </w:pPr>
      <w:r>
        <w:rPr>
          <w:b w:val="0"/>
        </w:rPr>
        <w:t>Nils's direct interview of 11 April is the current instruction: £22,500 after income tax by 30 September 2025 and a further £22,500 by 31 May 2026, with no continuing-income requirement. Meera's 28 March email sought £60,000 gross immediately; it is older, differs in amount basis and timing, and must not displace Nils's instruction.</w:t>
      </w:r>
    </w:p>
    <w:p>
      <w:pPr>
        <w:pStyle w:val="Body"/>
        <w:spacing w:before="0" w:after="40" w:line="240" w:lineRule="auto"/>
      </w:pPr>
      <w:r>
        <w:rPr>
          <w:b w:val="0"/>
        </w:rPr>
        <w:t>For this case, 'phased access' means two staged partial crystallisations with a payment on each of those dates. It does not mean repeated uncrystallised-funds pension lump sums (UFPLS), which take a mixed tax-free and taxable payment directly from uncrystallised funds.</w:t>
      </w:r>
    </w:p>
    <w:p>
      <w:pPr>
        <w:pStyle w:val="Section"/>
        <w:spacing w:before="100" w:after="40" w:line="240" w:lineRule="auto"/>
      </w:pPr>
      <w:r>
        <w:rPr>
          <w:b/>
          <w:color w:val="1F415A"/>
          <w:sz w:val="20"/>
        </w:rPr>
        <w:t>Conditional recommendation</w:t>
      </w:r>
    </w:p>
    <w:tbl>
      <w:tblPr>
        <w:tblW w:type="auto" w:w="0"/>
        <w:tblLook w:firstColumn="1" w:firstRow="1" w:lastColumn="0" w:lastRow="0" w:noHBand="0" w:noVBand="1" w:val="04A0"/>
      </w:tblPr>
      <w:tblGrid>
        <w:gridCol w:w="10321"/>
      </w:tblGrid>
      <w:tr>
        <w:trPr>
          <w:cantSplit/>
        </w:trPr>
        <w:tc>
          <w:tcPr>
            <w:tcW w:type="dxa" w:w="10321"/>
            <w:shd w:fill="DCE9EE"/>
            <w:tcMar>
              <w:top w:w="100" w:type="dxa"/>
              <w:start w:w="120" w:type="dxa"/>
              <w:bottom w:w="100" w:type="dxa"/>
              <w:end w:w="120" w:type="dxa"/>
            </w:tcMar>
          </w:tcPr>
          <w:p>
            <w:pPr>
              <w:spacing w:after="20" w:line="240" w:lineRule="auto"/>
            </w:pPr>
            <w:r>
              <w:rPr>
                <w:b/>
                <w:color w:val="1F415A"/>
                <w:sz w:val="17"/>
              </w:rPr>
              <w:t xml:space="preserve">Approve only in principle: </w:t>
            </w:r>
            <w:r>
              <w:rPr>
                <w:b w:val="0"/>
                <w:sz w:val="17"/>
              </w:rPr>
              <w:t xml:space="preserve">subject to Nils's written confirmation and provider verification, use two partial crystallisations of </w:t>
            </w:r>
            <w:r>
              <w:rPr>
                <w:b/>
                <w:color w:val="1F415A"/>
                <w:sz w:val="17"/>
              </w:rPr>
              <w:t>£90,000</w:t>
            </w:r>
            <w:r>
              <w:rPr>
                <w:b w:val="0"/>
                <w:sz w:val="17"/>
              </w:rPr>
              <w:t xml:space="preserve">. Take a </w:t>
            </w:r>
            <w:r>
              <w:rPr>
                <w:b/>
                <w:color w:val="1F415A"/>
                <w:sz w:val="17"/>
              </w:rPr>
              <w:t>£22,500</w:t>
            </w:r>
            <w:r>
              <w:rPr>
                <w:b w:val="0"/>
                <w:sz w:val="17"/>
              </w:rPr>
              <w:t xml:space="preserve"> pension commencement lump sum (PCLS) each time, move the other </w:t>
            </w:r>
            <w:r>
              <w:rPr>
                <w:b/>
                <w:color w:val="1F415A"/>
                <w:sz w:val="17"/>
              </w:rPr>
              <w:t>£67,500</w:t>
            </w:r>
            <w:r>
              <w:rPr>
                <w:b w:val="0"/>
                <w:sz w:val="17"/>
              </w:rPr>
              <w:t xml:space="preserve"> to drawdown, and take no taxable drawdown income. This is the defensible route because it meets the two net cash dates without taxable pension income or an MPAA trigger under the model.</w:t>
            </w:r>
          </w:p>
        </w:tc>
      </w:tr>
    </w:tbl>
    <w:p>
      <w:pPr>
        <w:pStyle w:val="Section"/>
        <w:spacing w:before="100" w:after="40" w:line="240" w:lineRule="auto"/>
      </w:pPr>
      <w:r>
        <w:rPr>
          <w:b/>
          <w:color w:val="1F415A"/>
          <w:sz w:val="20"/>
        </w:rPr>
        <w:t>Evidence and model boundary</w:t>
      </w:r>
    </w:p>
    <w:tbl>
      <w:tblPr>
        <w:tblW w:type="auto" w:w="0"/>
        <w:tblLayout w:type="fixed"/>
        <w:tblLook w:firstColumn="1" w:firstRow="1" w:lastColumn="0" w:lastRow="0" w:noHBand="0" w:noVBand="1" w:val="04A0"/>
      </w:tblPr>
      <w:tblGrid>
        <w:gridCol w:w="3440"/>
        <w:gridCol w:w="3440"/>
        <w:gridCol w:w="3440"/>
      </w:tblGrid>
      <w:tr>
        <w:trPr>
          <w:cantSplit/>
        </w:trPr>
        <w:tc>
          <w:tcPr>
            <w:tcW w:type="dxa" w:w="3499"/>
            <w:shd w:fill="1F415A"/>
            <w:vAlign w:val="center"/>
            <w:tcMar>
              <w:top w:w="70" w:type="dxa"/>
              <w:start w:w="90" w:type="dxa"/>
              <w:bottom w:w="70" w:type="dxa"/>
              <w:end w:w="90" w:type="dxa"/>
            </w:tcMar>
          </w:tcPr>
          <w:p>
            <w:pPr>
              <w:spacing w:after="0" w:line="226" w:lineRule="auto"/>
              <w:jc w:val="left"/>
            </w:pPr>
            <w:r>
              <w:rPr>
                <w:b/>
                <w:color w:val="FFFFFF"/>
                <w:sz w:val="13"/>
              </w:rPr>
              <w:t>KNOWN CASE FACTS</w:t>
            </w:r>
          </w:p>
        </w:tc>
        <w:tc>
          <w:tcPr>
            <w:tcW w:type="dxa" w:w="3499"/>
            <w:shd w:fill="1F415A"/>
            <w:vAlign w:val="center"/>
            <w:tcMar>
              <w:top w:w="70" w:type="dxa"/>
              <w:start w:w="90" w:type="dxa"/>
              <w:bottom w:w="70" w:type="dxa"/>
              <w:end w:w="90" w:type="dxa"/>
            </w:tcMar>
          </w:tcPr>
          <w:p>
            <w:pPr>
              <w:spacing w:after="0" w:line="226" w:lineRule="auto"/>
              <w:jc w:val="left"/>
            </w:pPr>
            <w:r>
              <w:rPr>
                <w:b/>
                <w:color w:val="FFFFFF"/>
                <w:sz w:val="13"/>
              </w:rPr>
              <w:t>FROZEN MODELLING ASSUMPTIONS</w:t>
            </w:r>
          </w:p>
        </w:tc>
        <w:tc>
          <w:tcPr>
            <w:tcW w:type="dxa" w:w="3499"/>
            <w:shd w:fill="1F415A"/>
            <w:vAlign w:val="center"/>
            <w:tcMar>
              <w:top w:w="70" w:type="dxa"/>
              <w:start w:w="90" w:type="dxa"/>
              <w:bottom w:w="70" w:type="dxa"/>
              <w:end w:w="90" w:type="dxa"/>
            </w:tcMar>
          </w:tcPr>
          <w:p>
            <w:pPr>
              <w:spacing w:after="0" w:line="226" w:lineRule="auto"/>
              <w:jc w:val="left"/>
            </w:pPr>
            <w:r>
              <w:rPr>
                <w:b/>
                <w:color w:val="FFFFFF"/>
                <w:sz w:val="13"/>
              </w:rPr>
              <w:t>EVIDENCE STILL REQUIRED</w:t>
            </w:r>
          </w:p>
        </w:tc>
      </w:tr>
      <w:tr>
        <w:trPr>
          <w:cantSplit/>
        </w:trPr>
        <w:tc>
          <w:tcPr>
            <w:tcW w:type="dxa" w:w="3499"/>
            <w:shd w:fill="EDF2F5"/>
            <w:vAlign w:val="center"/>
            <w:tcMar>
              <w:top w:w="70" w:type="dxa"/>
              <w:start w:w="90" w:type="dxa"/>
              <w:bottom w:w="70" w:type="dxa"/>
              <w:end w:w="90" w:type="dxa"/>
            </w:tcMar>
          </w:tcPr>
          <w:p>
            <w:pPr>
              <w:spacing w:after="0" w:line="226" w:lineRule="auto"/>
              <w:jc w:val="left"/>
            </w:pPr>
            <w:r>
              <w:rPr>
                <w:b w:val="0"/>
                <w:sz w:val="14"/>
              </w:rPr>
              <w:t>England resident, age 56; £240,000 uncrystallised pot; £42,000 other taxable income in each tax year; £16,000 planned money-purchase contributions after access each year; no earlier lump-sum allowance use recorded.</w:t>
            </w:r>
          </w:p>
        </w:tc>
        <w:tc>
          <w:tcPr>
            <w:tcW w:type="dxa" w:w="3499"/>
            <w:shd w:fill="EDF2F5"/>
            <w:vAlign w:val="center"/>
            <w:tcMar>
              <w:top w:w="70" w:type="dxa"/>
              <w:start w:w="90" w:type="dxa"/>
              <w:bottom w:w="70" w:type="dxa"/>
              <w:end w:w="90" w:type="dxa"/>
            </w:tcMar>
          </w:tcPr>
          <w:p>
            <w:pPr>
              <w:spacing w:after="0" w:line="226" w:lineRule="auto"/>
              <w:jc w:val="left"/>
            </w:pPr>
            <w:r>
              <w:rPr>
                <w:b w:val="0"/>
                <w:sz w:val="14"/>
              </w:rPr>
              <w:t>No investment growth or inflation. England 2026/27 tax bands remain at 2025/26 values. Tax is final annual liability. Unverified provider charges are excluded.</w:t>
            </w:r>
          </w:p>
        </w:tc>
        <w:tc>
          <w:tcPr>
            <w:tcW w:type="dxa" w:w="3499"/>
            <w:shd w:fill="EDF2F5"/>
            <w:vAlign w:val="center"/>
            <w:tcMar>
              <w:top w:w="70" w:type="dxa"/>
              <w:start w:w="90" w:type="dxa"/>
              <w:bottom w:w="70" w:type="dxa"/>
              <w:end w:w="90" w:type="dxa"/>
            </w:tcMar>
          </w:tcPr>
          <w:p>
            <w:pPr>
              <w:spacing w:after="0" w:line="226" w:lineRule="auto"/>
              <w:jc w:val="left"/>
            </w:pPr>
            <w:r>
              <w:rPr>
                <w:b w:val="0"/>
                <w:sz w:val="14"/>
              </w:rPr>
              <w:t>Provider status of 8 April leaves benefit classification, access availability and charges pending. Do not treat the 2 April handover's ordinary-DC/no-guarantees description as confirmation; obtain benefit type, access method, safeguards and charges.</w:t>
            </w:r>
          </w:p>
        </w:tc>
      </w:tr>
    </w:tbl>
    <w:p>
      <w:pPr>
        <w:pStyle w:val="Section"/>
        <w:spacing w:before="100" w:after="40" w:line="240" w:lineRule="auto"/>
      </w:pPr>
      <w:r>
        <w:rPr>
          <w:b/>
          <w:color w:val="1F415A"/>
          <w:sz w:val="20"/>
        </w:rPr>
        <w:t>Recommended payment model</w:t>
      </w:r>
    </w:p>
    <w:p>
      <w:pPr>
        <w:pStyle w:val="Body"/>
        <w:spacing w:before="0" w:after="20" w:line="240" w:lineRule="auto"/>
      </w:pPr>
      <w:r>
        <w:rPr>
          <w:b w:val="0"/>
        </w:rPr>
        <w:t>The table assumes the provider can make the requested access available and that no growth or charges arise before either payment.</w:t>
      </w:r>
    </w:p>
    <w:tbl>
      <w:tblPr>
        <w:tblW w:type="auto" w:w="0"/>
        <w:tblLayout w:type="fixed"/>
        <w:tblLook w:firstColumn="1" w:firstRow="1" w:lastColumn="0" w:lastRow="0" w:noHBand="0" w:noVBand="1" w:val="04A0"/>
      </w:tblPr>
      <w:tblGrid>
        <w:gridCol w:w="2064"/>
        <w:gridCol w:w="2064"/>
        <w:gridCol w:w="2064"/>
        <w:gridCol w:w="2064"/>
        <w:gridCol w:w="2064"/>
      </w:tblGrid>
      <w:tr>
        <w:trPr>
          <w:tblHeader w:val="true"/>
        </w:trPr>
        <w:tc>
          <w:tcPr>
            <w:tcW w:type="dxa" w:w="2376"/>
            <w:shd w:fill="1F415A"/>
            <w:vAlign w:val="center"/>
            <w:tcMar>
              <w:top w:w="70" w:type="dxa"/>
              <w:start w:w="90" w:type="dxa"/>
              <w:bottom w:w="70" w:type="dxa"/>
              <w:end w:w="90" w:type="dxa"/>
            </w:tcMar>
          </w:tcPr>
          <w:p>
            <w:pPr>
              <w:spacing w:after="0" w:line="226" w:lineRule="auto"/>
              <w:jc w:val="center"/>
            </w:pPr>
            <w:r>
              <w:rPr>
                <w:b/>
                <w:color w:val="FFFFFF"/>
                <w:sz w:val="14"/>
              </w:rPr>
              <w:t>Tax year / latest date</w:t>
            </w:r>
          </w:p>
        </w:tc>
        <w:tc>
          <w:tcPr>
            <w:tcW w:type="dxa" w:w="1800"/>
            <w:shd w:fill="1F415A"/>
            <w:vAlign w:val="center"/>
            <w:tcMar>
              <w:top w:w="70" w:type="dxa"/>
              <w:start w:w="90" w:type="dxa"/>
              <w:bottom w:w="70" w:type="dxa"/>
              <w:end w:w="90" w:type="dxa"/>
            </w:tcMar>
          </w:tcPr>
          <w:p>
            <w:pPr>
              <w:spacing w:after="0" w:line="226" w:lineRule="auto"/>
              <w:jc w:val="center"/>
            </w:pPr>
            <w:r>
              <w:rPr>
                <w:b/>
                <w:color w:val="FFFFFF"/>
                <w:sz w:val="14"/>
              </w:rPr>
              <w:t>Crystallise</w:t>
            </w:r>
          </w:p>
        </w:tc>
        <w:tc>
          <w:tcPr>
            <w:tcW w:type="dxa" w:w="2088"/>
            <w:shd w:fill="1F415A"/>
            <w:vAlign w:val="center"/>
            <w:tcMar>
              <w:top w:w="70" w:type="dxa"/>
              <w:start w:w="90" w:type="dxa"/>
              <w:bottom w:w="70" w:type="dxa"/>
              <w:end w:w="90" w:type="dxa"/>
            </w:tcMar>
          </w:tcPr>
          <w:p>
            <w:pPr>
              <w:spacing w:after="0" w:line="226" w:lineRule="auto"/>
              <w:jc w:val="center"/>
            </w:pPr>
            <w:r>
              <w:rPr>
                <w:b/>
                <w:color w:val="FFFFFF"/>
                <w:sz w:val="14"/>
              </w:rPr>
              <w:t>Tax-free PCLS paid</w:t>
            </w:r>
          </w:p>
        </w:tc>
        <w:tc>
          <w:tcPr>
            <w:tcW w:type="dxa" w:w="2088"/>
            <w:shd w:fill="1F415A"/>
            <w:vAlign w:val="center"/>
            <w:tcMar>
              <w:top w:w="70" w:type="dxa"/>
              <w:start w:w="90" w:type="dxa"/>
              <w:bottom w:w="70" w:type="dxa"/>
              <w:end w:w="90" w:type="dxa"/>
            </w:tcMar>
          </w:tcPr>
          <w:p>
            <w:pPr>
              <w:spacing w:after="0" w:line="226" w:lineRule="auto"/>
              <w:jc w:val="center"/>
            </w:pPr>
            <w:r>
              <w:rPr>
                <w:b/>
                <w:color w:val="FFFFFF"/>
                <w:sz w:val="14"/>
              </w:rPr>
              <w:t>Taxable drawdown paid</w:t>
            </w:r>
          </w:p>
        </w:tc>
        <w:tc>
          <w:tcPr>
            <w:tcW w:type="dxa" w:w="2088"/>
            <w:shd w:fill="1F415A"/>
            <w:vAlign w:val="center"/>
            <w:tcMar>
              <w:top w:w="70" w:type="dxa"/>
              <w:start w:w="90" w:type="dxa"/>
              <w:bottom w:w="70" w:type="dxa"/>
              <w:end w:w="90" w:type="dxa"/>
            </w:tcMar>
          </w:tcPr>
          <w:p>
            <w:pPr>
              <w:spacing w:after="0" w:line="226" w:lineRule="auto"/>
              <w:jc w:val="center"/>
            </w:pPr>
            <w:r>
              <w:rPr>
                <w:b/>
                <w:color w:val="FFFFFF"/>
                <w:sz w:val="14"/>
              </w:rPr>
              <w:t>Moved to drawdown</w:t>
            </w:r>
          </w:p>
        </w:tc>
      </w:tr>
      <w:tr>
        <w:trPr>
          <w:cantSplit/>
        </w:trPr>
        <w:tc>
          <w:tcPr>
            <w:tcW w:type="dxa" w:w="2376"/>
            <w:shd w:fill="F7F9FA"/>
            <w:vAlign w:val="center"/>
            <w:tcMar>
              <w:top w:w="70" w:type="dxa"/>
              <w:start w:w="90" w:type="dxa"/>
              <w:bottom w:w="70" w:type="dxa"/>
              <w:end w:w="90" w:type="dxa"/>
            </w:tcMar>
          </w:tcPr>
          <w:p>
            <w:pPr>
              <w:spacing w:after="0" w:line="226" w:lineRule="auto"/>
              <w:jc w:val="left"/>
            </w:pPr>
            <w:r>
              <w:rPr>
                <w:b w:val="0"/>
                <w:sz w:val="15"/>
              </w:rPr>
              <w:t>2025/26</w:t>
            </w:r>
            <w:r>
              <w:br/>
            </w:r>
            <w:r>
              <w:rPr>
                <w:b w:val="0"/>
                <w:sz w:val="15"/>
              </w:rPr>
              <w:t>30 Sep 2025</w:t>
            </w:r>
          </w:p>
        </w:tc>
        <w:tc>
          <w:tcPr>
            <w:tcW w:type="dxa" w:w="1800"/>
            <w:shd w:fill="F7F9FA"/>
            <w:vAlign w:val="center"/>
            <w:tcMar>
              <w:top w:w="70" w:type="dxa"/>
              <w:start w:w="90" w:type="dxa"/>
              <w:bottom w:w="70" w:type="dxa"/>
              <w:end w:w="90" w:type="dxa"/>
            </w:tcMar>
          </w:tcPr>
          <w:p>
            <w:pPr>
              <w:spacing w:after="0" w:line="226" w:lineRule="auto"/>
              <w:jc w:val="center"/>
            </w:pPr>
            <w:r>
              <w:rPr>
                <w:b w:val="0"/>
                <w:sz w:val="15"/>
              </w:rPr>
              <w:t>£90,000</w:t>
            </w:r>
          </w:p>
        </w:tc>
        <w:tc>
          <w:tcPr>
            <w:tcW w:type="dxa" w:w="2088"/>
            <w:shd w:fill="F7F9FA"/>
            <w:vAlign w:val="center"/>
            <w:tcMar>
              <w:top w:w="70" w:type="dxa"/>
              <w:start w:w="90" w:type="dxa"/>
              <w:bottom w:w="70" w:type="dxa"/>
              <w:end w:w="90" w:type="dxa"/>
            </w:tcMar>
          </w:tcPr>
          <w:p>
            <w:pPr>
              <w:spacing w:after="0" w:line="226" w:lineRule="auto"/>
              <w:jc w:val="center"/>
            </w:pPr>
            <w:r>
              <w:rPr>
                <w:b w:val="0"/>
                <w:sz w:val="15"/>
              </w:rPr>
              <w:t>£22,500</w:t>
            </w:r>
          </w:p>
        </w:tc>
        <w:tc>
          <w:tcPr>
            <w:tcW w:type="dxa" w:w="2088"/>
            <w:shd w:fill="F7F9FA"/>
            <w:vAlign w:val="center"/>
            <w:tcMar>
              <w:top w:w="70" w:type="dxa"/>
              <w:start w:w="90" w:type="dxa"/>
              <w:bottom w:w="70" w:type="dxa"/>
              <w:end w:w="90" w:type="dxa"/>
            </w:tcMar>
          </w:tcPr>
          <w:p>
            <w:pPr>
              <w:spacing w:after="0" w:line="226" w:lineRule="auto"/>
              <w:jc w:val="center"/>
            </w:pPr>
            <w:r>
              <w:rPr>
                <w:b w:val="0"/>
                <w:sz w:val="15"/>
              </w:rPr>
              <w:t>£0</w:t>
            </w:r>
          </w:p>
        </w:tc>
        <w:tc>
          <w:tcPr>
            <w:tcW w:type="dxa" w:w="2088"/>
            <w:shd w:fill="F7F9FA"/>
            <w:vAlign w:val="center"/>
            <w:tcMar>
              <w:top w:w="70" w:type="dxa"/>
              <w:start w:w="90" w:type="dxa"/>
              <w:bottom w:w="70" w:type="dxa"/>
              <w:end w:w="90" w:type="dxa"/>
            </w:tcMar>
          </w:tcPr>
          <w:p>
            <w:pPr>
              <w:spacing w:after="0" w:line="226" w:lineRule="auto"/>
              <w:jc w:val="center"/>
            </w:pPr>
            <w:r>
              <w:rPr>
                <w:b w:val="0"/>
                <w:sz w:val="15"/>
              </w:rPr>
              <w:t>£67,500</w:t>
            </w:r>
          </w:p>
        </w:tc>
      </w:tr>
      <w:tr>
        <w:trPr>
          <w:cantSplit/>
        </w:trPr>
        <w:tc>
          <w:tcPr>
            <w:tcW w:type="dxa" w:w="2376"/>
            <w:shd w:fill="F7F9FA"/>
            <w:vAlign w:val="center"/>
            <w:tcMar>
              <w:top w:w="70" w:type="dxa"/>
              <w:start w:w="90" w:type="dxa"/>
              <w:bottom w:w="70" w:type="dxa"/>
              <w:end w:w="90" w:type="dxa"/>
            </w:tcMar>
          </w:tcPr>
          <w:p>
            <w:pPr>
              <w:spacing w:after="0" w:line="226" w:lineRule="auto"/>
              <w:jc w:val="left"/>
            </w:pPr>
            <w:r>
              <w:rPr>
                <w:b w:val="0"/>
                <w:sz w:val="15"/>
              </w:rPr>
              <w:t>2026/27</w:t>
            </w:r>
            <w:r>
              <w:br/>
            </w:r>
            <w:r>
              <w:rPr>
                <w:b w:val="0"/>
                <w:sz w:val="15"/>
              </w:rPr>
              <w:t>31 May 2026</w:t>
            </w:r>
          </w:p>
        </w:tc>
        <w:tc>
          <w:tcPr>
            <w:tcW w:type="dxa" w:w="1800"/>
            <w:shd w:fill="F7F9FA"/>
            <w:vAlign w:val="center"/>
            <w:tcMar>
              <w:top w:w="70" w:type="dxa"/>
              <w:start w:w="90" w:type="dxa"/>
              <w:bottom w:w="70" w:type="dxa"/>
              <w:end w:w="90" w:type="dxa"/>
            </w:tcMar>
          </w:tcPr>
          <w:p>
            <w:pPr>
              <w:spacing w:after="0" w:line="226" w:lineRule="auto"/>
              <w:jc w:val="center"/>
            </w:pPr>
            <w:r>
              <w:rPr>
                <w:b w:val="0"/>
                <w:sz w:val="15"/>
              </w:rPr>
              <w:t>£90,000</w:t>
            </w:r>
          </w:p>
        </w:tc>
        <w:tc>
          <w:tcPr>
            <w:tcW w:type="dxa" w:w="2088"/>
            <w:shd w:fill="F7F9FA"/>
            <w:vAlign w:val="center"/>
            <w:tcMar>
              <w:top w:w="70" w:type="dxa"/>
              <w:start w:w="90" w:type="dxa"/>
              <w:bottom w:w="70" w:type="dxa"/>
              <w:end w:w="90" w:type="dxa"/>
            </w:tcMar>
          </w:tcPr>
          <w:p>
            <w:pPr>
              <w:spacing w:after="0" w:line="226" w:lineRule="auto"/>
              <w:jc w:val="center"/>
            </w:pPr>
            <w:r>
              <w:rPr>
                <w:b w:val="0"/>
                <w:sz w:val="15"/>
              </w:rPr>
              <w:t>£22,500</w:t>
            </w:r>
          </w:p>
        </w:tc>
        <w:tc>
          <w:tcPr>
            <w:tcW w:type="dxa" w:w="2088"/>
            <w:shd w:fill="F7F9FA"/>
            <w:vAlign w:val="center"/>
            <w:tcMar>
              <w:top w:w="70" w:type="dxa"/>
              <w:start w:w="90" w:type="dxa"/>
              <w:bottom w:w="70" w:type="dxa"/>
              <w:end w:w="90" w:type="dxa"/>
            </w:tcMar>
          </w:tcPr>
          <w:p>
            <w:pPr>
              <w:spacing w:after="0" w:line="226" w:lineRule="auto"/>
              <w:jc w:val="center"/>
            </w:pPr>
            <w:r>
              <w:rPr>
                <w:b w:val="0"/>
                <w:sz w:val="15"/>
              </w:rPr>
              <w:t>£0</w:t>
            </w:r>
          </w:p>
        </w:tc>
        <w:tc>
          <w:tcPr>
            <w:tcW w:type="dxa" w:w="2088"/>
            <w:shd w:fill="F7F9FA"/>
            <w:vAlign w:val="center"/>
            <w:tcMar>
              <w:top w:w="70" w:type="dxa"/>
              <w:start w:w="90" w:type="dxa"/>
              <w:bottom w:w="70" w:type="dxa"/>
              <w:end w:w="90" w:type="dxa"/>
            </w:tcMar>
          </w:tcPr>
          <w:p>
            <w:pPr>
              <w:spacing w:after="0" w:line="226" w:lineRule="auto"/>
              <w:jc w:val="center"/>
            </w:pPr>
            <w:r>
              <w:rPr>
                <w:b w:val="0"/>
                <w:sz w:val="15"/>
              </w:rPr>
              <w:t>£67,500</w:t>
            </w:r>
          </w:p>
        </w:tc>
      </w:tr>
      <w:tr>
        <w:trPr>
          <w:cantSplit/>
        </w:trPr>
        <w:tc>
          <w:tcPr>
            <w:tcW w:type="dxa" w:w="2376"/>
            <w:shd w:fill="DCE9EE"/>
            <w:vAlign w:val="center"/>
            <w:tcMar>
              <w:top w:w="70" w:type="dxa"/>
              <w:start w:w="90" w:type="dxa"/>
              <w:bottom w:w="70" w:type="dxa"/>
              <w:end w:w="90" w:type="dxa"/>
            </w:tcMar>
          </w:tcPr>
          <w:p>
            <w:pPr>
              <w:spacing w:after="0" w:line="226" w:lineRule="auto"/>
              <w:jc w:val="left"/>
            </w:pPr>
            <w:r>
              <w:rPr>
                <w:b/>
                <w:sz w:val="15"/>
              </w:rPr>
              <w:t>Total</w:t>
            </w:r>
          </w:p>
        </w:tc>
        <w:tc>
          <w:tcPr>
            <w:tcW w:type="dxa" w:w="1800"/>
            <w:shd w:fill="DCE9EE"/>
            <w:vAlign w:val="center"/>
            <w:tcMar>
              <w:top w:w="70" w:type="dxa"/>
              <w:start w:w="90" w:type="dxa"/>
              <w:bottom w:w="70" w:type="dxa"/>
              <w:end w:w="90" w:type="dxa"/>
            </w:tcMar>
          </w:tcPr>
          <w:p>
            <w:pPr>
              <w:spacing w:after="0" w:line="226" w:lineRule="auto"/>
              <w:jc w:val="center"/>
            </w:pPr>
            <w:r>
              <w:rPr>
                <w:b/>
                <w:sz w:val="15"/>
              </w:rPr>
              <w:t>£180,000</w:t>
            </w:r>
          </w:p>
        </w:tc>
        <w:tc>
          <w:tcPr>
            <w:tcW w:type="dxa" w:w="2088"/>
            <w:shd w:fill="DCE9EE"/>
            <w:vAlign w:val="center"/>
            <w:tcMar>
              <w:top w:w="70" w:type="dxa"/>
              <w:start w:w="90" w:type="dxa"/>
              <w:bottom w:w="70" w:type="dxa"/>
              <w:end w:w="90" w:type="dxa"/>
            </w:tcMar>
          </w:tcPr>
          <w:p>
            <w:pPr>
              <w:spacing w:after="0" w:line="226" w:lineRule="auto"/>
              <w:jc w:val="center"/>
            </w:pPr>
            <w:r>
              <w:rPr>
                <w:b/>
                <w:sz w:val="15"/>
              </w:rPr>
              <w:t>£45,000</w:t>
            </w:r>
          </w:p>
        </w:tc>
        <w:tc>
          <w:tcPr>
            <w:tcW w:type="dxa" w:w="2088"/>
            <w:shd w:fill="DCE9EE"/>
            <w:vAlign w:val="center"/>
            <w:tcMar>
              <w:top w:w="70" w:type="dxa"/>
              <w:start w:w="90" w:type="dxa"/>
              <w:bottom w:w="70" w:type="dxa"/>
              <w:end w:w="90" w:type="dxa"/>
            </w:tcMar>
          </w:tcPr>
          <w:p>
            <w:pPr>
              <w:spacing w:after="0" w:line="226" w:lineRule="auto"/>
              <w:jc w:val="center"/>
            </w:pPr>
            <w:r>
              <w:rPr>
                <w:b/>
                <w:sz w:val="15"/>
              </w:rPr>
              <w:t>£0</w:t>
            </w:r>
          </w:p>
        </w:tc>
        <w:tc>
          <w:tcPr>
            <w:tcW w:type="dxa" w:w="2088"/>
            <w:shd w:fill="DCE9EE"/>
            <w:vAlign w:val="center"/>
            <w:tcMar>
              <w:top w:w="70" w:type="dxa"/>
              <w:start w:w="90" w:type="dxa"/>
              <w:bottom w:w="70" w:type="dxa"/>
              <w:end w:w="90" w:type="dxa"/>
            </w:tcMar>
          </w:tcPr>
          <w:p>
            <w:pPr>
              <w:spacing w:after="0" w:line="226" w:lineRule="auto"/>
              <w:jc w:val="center"/>
            </w:pPr>
            <w:r>
              <w:rPr>
                <w:b/>
                <w:sz w:val="15"/>
              </w:rPr>
              <w:t>£135,000</w:t>
            </w:r>
          </w:p>
        </w:tc>
      </w:tr>
    </w:tbl>
    <w:p>
      <w:pPr>
        <w:pStyle w:val="Body"/>
        <w:spacing w:before="0" w:after="40" w:line="240" w:lineRule="auto"/>
      </w:pPr>
      <w:r>
        <w:rPr>
          <w:b w:val="0"/>
        </w:rPr>
        <w:t>This delivers £22,500 by 30 September 2025 and £22,500 by 31 May 2026: £45,000 total customer cash. After both transactions, £180,000 is crystallised, comprising £45,000 paid as lump sums and £135,000 moved to drawdown; £60,000 remains uncrystallised. The £135,000 is not cash paid to Nils.</w:t>
      </w:r>
    </w:p>
    <w:p>
      <w:pPr>
        <w:pStyle w:val="Body"/>
        <w:spacing w:before="0" w:after="40" w:line="240" w:lineRule="auto"/>
      </w:pPr>
      <w:r>
        <w:rPr>
          <w:b w:val="0"/>
        </w:rPr>
        <w:t>Lump-sum allowance: £268,275 less £45,000 used leaves £223,275, subject to confirmation that no allowance has previously been used. Taking the PCLS uses future tax-free lump-sum entitlement.</w:t>
      </w:r>
    </w:p>
    <w:p>
      <w:pPr>
        <w:pStyle w:val="Body"/>
        <w:spacing w:before="0" w:after="40" w:line="240" w:lineRule="auto"/>
      </w:pPr>
      <w:r>
        <w:rPr>
          <w:b w:val="0"/>
        </w:rPr>
        <w:t>Access and contributions: at age 56, Nils is normally above the normal minimum pension age of 55 on 14 April 2025. That does not replace verification of any scheme-specific protected age or benefit restriction. PCLS-only access with no taxable drawdown does not itself trigger the money purchase annual allowance (MPAA), so the planned £16,000 contribution is not constrained by the £10,000 MPAA on this basis.</w:t>
      </w:r>
    </w:p>
    <w:p>
      <w:r>
        <w:br w:type="page"/>
      </w:r>
    </w:p>
    <w:p>
      <w:pPr>
        <w:pStyle w:val="Section"/>
        <w:spacing w:before="100" w:after="40" w:line="240" w:lineRule="auto"/>
      </w:pPr>
      <w:r>
        <w:rPr>
          <w:b/>
          <w:color w:val="1F415A"/>
          <w:sz w:val="20"/>
        </w:rPr>
        <w:t>Taxable-access comparison</w:t>
      </w:r>
    </w:p>
    <w:p>
      <w:pPr>
        <w:pStyle w:val="Body"/>
        <w:spacing w:before="0" w:after="20" w:line="240" w:lineRule="auto"/>
      </w:pPr>
      <w:r>
        <w:rPr>
          <w:b w:val="0"/>
        </w:rPr>
        <w:t>The alternatives below use the frozen England tax assumption. They show final income-tax liability attributable to pension access, not an initial provider deduction.</w:t>
      </w:r>
    </w:p>
    <w:tbl>
      <w:tblPr>
        <w:tblW w:type="auto" w:w="0"/>
        <w:tblLayout w:type="fixed"/>
        <w:tblLook w:firstColumn="1" w:firstRow="1" w:lastColumn="0" w:lastRow="0" w:noHBand="0" w:noVBand="1" w:val="04A0"/>
      </w:tblPr>
      <w:tblGrid>
        <w:gridCol w:w="2580"/>
        <w:gridCol w:w="2580"/>
        <w:gridCol w:w="2580"/>
        <w:gridCol w:w="2580"/>
      </w:tblGrid>
      <w:tr>
        <w:trPr>
          <w:tblHeader w:val="true"/>
        </w:trPr>
        <w:tc>
          <w:tcPr>
            <w:tcW w:type="dxa" w:w="2160"/>
            <w:shd w:fill="1F415A"/>
            <w:vAlign w:val="center"/>
            <w:tcMar>
              <w:top w:w="70" w:type="dxa"/>
              <w:start w:w="90" w:type="dxa"/>
              <w:bottom w:w="70" w:type="dxa"/>
              <w:end w:w="90" w:type="dxa"/>
            </w:tcMar>
          </w:tcPr>
          <w:p>
            <w:pPr>
              <w:spacing w:after="0" w:line="226" w:lineRule="auto"/>
              <w:jc w:val="center"/>
            </w:pPr>
            <w:r>
              <w:rPr>
                <w:b/>
                <w:color w:val="FFFFFF"/>
                <w:sz w:val="13"/>
              </w:rPr>
              <w:t>Route</w:t>
            </w:r>
          </w:p>
        </w:tc>
        <w:tc>
          <w:tcPr>
            <w:tcW w:type="dxa" w:w="3168"/>
            <w:shd w:fill="1F415A"/>
            <w:vAlign w:val="center"/>
            <w:tcMar>
              <w:top w:w="70" w:type="dxa"/>
              <w:start w:w="90" w:type="dxa"/>
              <w:bottom w:w="70" w:type="dxa"/>
              <w:end w:w="90" w:type="dxa"/>
            </w:tcMar>
          </w:tcPr>
          <w:p>
            <w:pPr>
              <w:spacing w:after="0" w:line="226" w:lineRule="auto"/>
              <w:jc w:val="center"/>
            </w:pPr>
            <w:r>
              <w:rPr>
                <w:b/>
                <w:color w:val="FFFFFF"/>
                <w:sz w:val="13"/>
              </w:rPr>
              <w:t>Final tax and customer cash</w:t>
            </w:r>
          </w:p>
        </w:tc>
        <w:tc>
          <w:tcPr>
            <w:tcW w:type="dxa" w:w="2476"/>
            <w:shd w:fill="1F415A"/>
            <w:vAlign w:val="center"/>
            <w:tcMar>
              <w:top w:w="70" w:type="dxa"/>
              <w:start w:w="90" w:type="dxa"/>
              <w:bottom w:w="70" w:type="dxa"/>
              <w:end w:w="90" w:type="dxa"/>
            </w:tcMar>
          </w:tcPr>
          <w:p>
            <w:pPr>
              <w:spacing w:after="0" w:line="226" w:lineRule="auto"/>
              <w:jc w:val="center"/>
            </w:pPr>
            <w:r>
              <w:rPr>
                <w:b/>
                <w:color w:val="FFFFFF"/>
                <w:sz w:val="13"/>
              </w:rPr>
              <w:t>Contribution effect</w:t>
            </w:r>
          </w:p>
        </w:tc>
        <w:tc>
          <w:tcPr>
            <w:tcW w:type="dxa" w:w="2635"/>
            <w:shd w:fill="1F415A"/>
            <w:vAlign w:val="center"/>
            <w:tcMar>
              <w:top w:w="70" w:type="dxa"/>
              <w:start w:w="90" w:type="dxa"/>
              <w:bottom w:w="70" w:type="dxa"/>
              <w:end w:w="90" w:type="dxa"/>
            </w:tcMar>
          </w:tcPr>
          <w:p>
            <w:pPr>
              <w:spacing w:after="0" w:line="226" w:lineRule="auto"/>
              <w:jc w:val="center"/>
            </w:pPr>
            <w:r>
              <w:rPr>
                <w:b/>
                <w:color w:val="FFFFFF"/>
                <w:sz w:val="13"/>
              </w:rPr>
              <w:t>Decision relevance</w:t>
            </w:r>
          </w:p>
        </w:tc>
      </w:tr>
      <w:tr>
        <w:trPr>
          <w:cantSplit/>
        </w:trPr>
        <w:tc>
          <w:tcPr>
            <w:tcW w:type="dxa" w:w="2160"/>
            <w:shd w:fill="F7F9FA"/>
            <w:vAlign w:val="center"/>
            <w:tcMar>
              <w:top w:w="70" w:type="dxa"/>
              <w:start w:w="90" w:type="dxa"/>
              <w:bottom w:w="70" w:type="dxa"/>
              <w:end w:w="90" w:type="dxa"/>
            </w:tcMar>
          </w:tcPr>
          <w:p>
            <w:pPr>
              <w:spacing w:after="0" w:line="226" w:lineRule="auto"/>
              <w:jc w:val="left"/>
            </w:pPr>
            <w:r>
              <w:rPr>
                <w:b w:val="0"/>
                <w:sz w:val="13"/>
              </w:rPr>
              <w:t>One £60,000 UFPLS</w:t>
            </w:r>
            <w:r>
              <w:br/>
            </w:r>
            <w:r>
              <w:rPr>
                <w:b w:val="0"/>
                <w:sz w:val="13"/>
              </w:rPr>
              <w:t>2025/26</w:t>
            </w:r>
          </w:p>
        </w:tc>
        <w:tc>
          <w:tcPr>
            <w:tcW w:type="dxa" w:w="3168"/>
            <w:shd w:fill="F7F9FA"/>
            <w:vAlign w:val="center"/>
            <w:tcMar>
              <w:top w:w="70" w:type="dxa"/>
              <w:start w:w="90" w:type="dxa"/>
              <w:bottom w:w="70" w:type="dxa"/>
              <w:end w:w="90" w:type="dxa"/>
            </w:tcMar>
          </w:tcPr>
          <w:p>
            <w:pPr>
              <w:spacing w:after="0" w:line="226" w:lineRule="auto"/>
              <w:jc w:val="left"/>
            </w:pPr>
            <w:r>
              <w:rPr>
                <w:b w:val="0"/>
                <w:sz w:val="13"/>
              </w:rPr>
              <w:t>£15,000 tax-free + £45,000 taxable. Incremental tax £16,346; final net pension cash £43,654.</w:t>
            </w:r>
          </w:p>
        </w:tc>
        <w:tc>
          <w:tcPr>
            <w:tcW w:type="dxa" w:w="2476"/>
            <w:shd w:fill="F7F9FA"/>
            <w:vAlign w:val="center"/>
            <w:tcMar>
              <w:top w:w="70" w:type="dxa"/>
              <w:start w:w="90" w:type="dxa"/>
              <w:bottom w:w="70" w:type="dxa"/>
              <w:end w:w="90" w:type="dxa"/>
            </w:tcMar>
          </w:tcPr>
          <w:p>
            <w:pPr>
              <w:spacing w:after="0" w:line="226" w:lineRule="auto"/>
              <w:jc w:val="left"/>
            </w:pPr>
            <w:r>
              <w:rPr>
                <w:b w:val="0"/>
                <w:sz w:val="13"/>
              </w:rPr>
              <w:t>Triggers the £10,000 MPAA. Planned £16,000 contribution is £6,000 above it.</w:t>
            </w:r>
          </w:p>
        </w:tc>
        <w:tc>
          <w:tcPr>
            <w:tcW w:type="dxa" w:w="2635"/>
            <w:shd w:fill="F7F9FA"/>
            <w:vAlign w:val="center"/>
            <w:tcMar>
              <w:top w:w="70" w:type="dxa"/>
              <w:start w:w="90" w:type="dxa"/>
              <w:bottom w:w="70" w:type="dxa"/>
              <w:end w:w="90" w:type="dxa"/>
            </w:tcMar>
          </w:tcPr>
          <w:p>
            <w:pPr>
              <w:spacing w:after="0" w:line="226" w:lineRule="auto"/>
              <w:jc w:val="left"/>
            </w:pPr>
            <w:r>
              <w:rPr>
                <w:b w:val="0"/>
                <w:sz w:val="13"/>
              </w:rPr>
              <w:t>Older gross/immediate request; lower final cash than the current net objective and no staged timetable.</w:t>
            </w:r>
          </w:p>
        </w:tc>
      </w:tr>
      <w:tr>
        <w:trPr>
          <w:cantSplit/>
        </w:trPr>
        <w:tc>
          <w:tcPr>
            <w:tcW w:type="dxa" w:w="2160"/>
            <w:shd w:fill="F7F9FA"/>
            <w:vAlign w:val="center"/>
            <w:tcMar>
              <w:top w:w="70" w:type="dxa"/>
              <w:start w:w="90" w:type="dxa"/>
              <w:bottom w:w="70" w:type="dxa"/>
              <w:end w:w="90" w:type="dxa"/>
            </w:tcMar>
          </w:tcPr>
          <w:p>
            <w:pPr>
              <w:spacing w:after="0" w:line="226" w:lineRule="auto"/>
              <w:jc w:val="left"/>
            </w:pPr>
            <w:r>
              <w:rPr>
                <w:b w:val="0"/>
                <w:sz w:val="13"/>
              </w:rPr>
              <w:t>Two £30,000 UFPLS</w:t>
            </w:r>
            <w:r>
              <w:br/>
            </w:r>
            <w:r>
              <w:rPr>
                <w:b w:val="0"/>
                <w:sz w:val="13"/>
              </w:rPr>
              <w:t>one per tax year</w:t>
            </w:r>
          </w:p>
        </w:tc>
        <w:tc>
          <w:tcPr>
            <w:tcW w:type="dxa" w:w="3168"/>
            <w:shd w:fill="F7F9FA"/>
            <w:vAlign w:val="center"/>
            <w:tcMar>
              <w:top w:w="70" w:type="dxa"/>
              <w:start w:w="90" w:type="dxa"/>
              <w:bottom w:w="70" w:type="dxa"/>
              <w:end w:w="90" w:type="dxa"/>
            </w:tcMar>
          </w:tcPr>
          <w:p>
            <w:pPr>
              <w:spacing w:after="0" w:line="226" w:lineRule="auto"/>
              <w:jc w:val="left"/>
            </w:pPr>
            <w:r>
              <w:rPr>
                <w:b w:val="0"/>
                <w:sz w:val="13"/>
              </w:rPr>
              <w:t>Each: £7,500 tax-free + £22,500 taxable; tax £7,346; final net £22,654. Total tax £14,692; net £45,308.</w:t>
            </w:r>
          </w:p>
        </w:tc>
        <w:tc>
          <w:tcPr>
            <w:tcW w:type="dxa" w:w="2476"/>
            <w:shd w:fill="F7F9FA"/>
            <w:vAlign w:val="center"/>
            <w:tcMar>
              <w:top w:w="70" w:type="dxa"/>
              <w:start w:w="90" w:type="dxa"/>
              <w:bottom w:w="70" w:type="dxa"/>
              <w:end w:w="90" w:type="dxa"/>
            </w:tcMar>
          </w:tcPr>
          <w:p>
            <w:pPr>
              <w:spacing w:after="0" w:line="226" w:lineRule="auto"/>
              <w:jc w:val="left"/>
            </w:pPr>
            <w:r>
              <w:rPr>
                <w:b w:val="0"/>
                <w:sz w:val="13"/>
              </w:rPr>
              <w:t>Also triggers the £10,000 MPAA; the planned £16,000 is £6,000 above it in each post-access year.</w:t>
            </w:r>
          </w:p>
        </w:tc>
        <w:tc>
          <w:tcPr>
            <w:tcW w:type="dxa" w:w="2635"/>
            <w:shd w:fill="F7F9FA"/>
            <w:vAlign w:val="center"/>
            <w:tcMar>
              <w:top w:w="70" w:type="dxa"/>
              <w:start w:w="90" w:type="dxa"/>
              <w:bottom w:w="70" w:type="dxa"/>
              <w:end w:w="90" w:type="dxa"/>
            </w:tcMar>
          </w:tcPr>
          <w:p>
            <w:pPr>
              <w:spacing w:after="0" w:line="226" w:lineRule="auto"/>
              <w:jc w:val="left"/>
            </w:pPr>
            <w:r>
              <w:rPr>
                <w:b w:val="0"/>
                <w:sz w:val="13"/>
              </w:rPr>
              <w:t>Better tax result than one UFPLS, but introduces taxable pension income and an MPAA problem.</w:t>
            </w:r>
          </w:p>
        </w:tc>
      </w:tr>
      <w:tr>
        <w:trPr>
          <w:cantSplit/>
        </w:trPr>
        <w:tc>
          <w:tcPr>
            <w:tcW w:type="dxa" w:w="2160"/>
            <w:shd w:fill="DCE9EE"/>
            <w:vAlign w:val="center"/>
            <w:tcMar>
              <w:top w:w="70" w:type="dxa"/>
              <w:start w:w="90" w:type="dxa"/>
              <w:bottom w:w="70" w:type="dxa"/>
              <w:end w:w="90" w:type="dxa"/>
            </w:tcMar>
          </w:tcPr>
          <w:p>
            <w:pPr>
              <w:spacing w:after="0" w:line="226" w:lineRule="auto"/>
              <w:jc w:val="left"/>
            </w:pPr>
            <w:r>
              <w:rPr>
                <w:b/>
                <w:sz w:val="13"/>
              </w:rPr>
              <w:t>Recommended: two partial crystallisations, PCLS only</w:t>
            </w:r>
          </w:p>
        </w:tc>
        <w:tc>
          <w:tcPr>
            <w:tcW w:type="dxa" w:w="3168"/>
            <w:shd w:fill="DCE9EE"/>
            <w:vAlign w:val="center"/>
            <w:tcMar>
              <w:top w:w="70" w:type="dxa"/>
              <w:start w:w="90" w:type="dxa"/>
              <w:bottom w:w="70" w:type="dxa"/>
              <w:end w:w="90" w:type="dxa"/>
            </w:tcMar>
          </w:tcPr>
          <w:p>
            <w:pPr>
              <w:spacing w:after="0" w:line="226" w:lineRule="auto"/>
              <w:jc w:val="left"/>
            </w:pPr>
            <w:r>
              <w:rPr>
                <w:b w:val="0"/>
                <w:sz w:val="13"/>
              </w:rPr>
              <w:t>£22,500 on each date; £45,000 total tax-free cash. No taxable drawdown is taken.</w:t>
            </w:r>
          </w:p>
        </w:tc>
        <w:tc>
          <w:tcPr>
            <w:tcW w:type="dxa" w:w="2476"/>
            <w:shd w:fill="DCE9EE"/>
            <w:vAlign w:val="center"/>
            <w:tcMar>
              <w:top w:w="70" w:type="dxa"/>
              <w:start w:w="90" w:type="dxa"/>
              <w:bottom w:w="70" w:type="dxa"/>
              <w:end w:w="90" w:type="dxa"/>
            </w:tcMar>
          </w:tcPr>
          <w:p>
            <w:pPr>
              <w:spacing w:after="0" w:line="226" w:lineRule="auto"/>
              <w:jc w:val="left"/>
            </w:pPr>
            <w:r>
              <w:rPr>
                <w:b w:val="0"/>
                <w:sz w:val="13"/>
              </w:rPr>
              <w:t>PCLS only, with no taxable drawdown, does not itself trigger the MPAA.</w:t>
            </w:r>
          </w:p>
        </w:tc>
        <w:tc>
          <w:tcPr>
            <w:tcW w:type="dxa" w:w="2635"/>
            <w:shd w:fill="DCE9EE"/>
            <w:vAlign w:val="center"/>
            <w:tcMar>
              <w:top w:w="70" w:type="dxa"/>
              <w:start w:w="90" w:type="dxa"/>
              <w:bottom w:w="70" w:type="dxa"/>
              <w:end w:w="90" w:type="dxa"/>
            </w:tcMar>
          </w:tcPr>
          <w:p>
            <w:pPr>
              <w:spacing w:after="0" w:line="226" w:lineRule="auto"/>
              <w:jc w:val="left"/>
            </w:pPr>
            <w:r>
              <w:rPr>
                <w:b w:val="0"/>
                <w:sz w:val="13"/>
              </w:rPr>
              <w:t>Meets the two stated dates and net objective, conditional on provider and customer confirmation.</w:t>
            </w:r>
          </w:p>
        </w:tc>
      </w:tr>
    </w:tbl>
    <w:p>
      <w:pPr>
        <w:pStyle w:val="Body"/>
        <w:spacing w:before="0" w:after="40" w:line="240" w:lineRule="auto"/>
      </w:pPr>
      <w:r>
        <w:rPr>
          <w:b w:val="0"/>
        </w:rPr>
        <w:t>The two-period UFPLS result is £1,654 better than one £60,000 UFPLS because income-tax bands reset between tax years. The recommended PCLS-only route takes no taxable pension income, so it does not depend on that tax-band reset. A provider may initially withhold tax under an emergency code; do not promise an actual provider payment amount without its illustration.</w:t>
      </w:r>
    </w:p>
    <w:p>
      <w:pPr>
        <w:pStyle w:val="Section"/>
        <w:spacing w:before="100" w:after="40" w:line="240" w:lineRule="auto"/>
      </w:pPr>
      <w:r>
        <w:rPr>
          <w:b/>
          <w:color w:val="1F415A"/>
          <w:sz w:val="20"/>
        </w:rPr>
        <w:t>Practical consequences</w:t>
      </w:r>
    </w:p>
    <w:p>
      <w:pPr>
        <w:pStyle w:val="Body"/>
        <w:spacing w:before="0" w:after="20" w:line="240" w:lineRule="auto"/>
        <w:ind w:left="202" w:hanging="144"/>
      </w:pPr>
      <w:r>
        <w:rPr>
          <w:b/>
          <w:color w:val="1F415A"/>
        </w:rPr>
        <w:t xml:space="preserve">• </w:t>
      </w:r>
      <w:r>
        <w:rPr>
          <w:b w:val="0"/>
        </w:rPr>
        <w:t>The alternatives are not interchangeable: taking a PCLS consumes lump-sum allowance and moves the remaining crystallised funds into drawdown; taking UFPLS removes both the tax-free and taxable parts from the uncrystallised pot.</w:t>
      </w:r>
    </w:p>
    <w:p>
      <w:pPr>
        <w:pStyle w:val="Body"/>
        <w:spacing w:before="0" w:after="20" w:line="240" w:lineRule="auto"/>
        <w:ind w:left="202" w:hanging="144"/>
      </w:pPr>
      <w:r>
        <w:rPr>
          <w:b/>
          <w:color w:val="1F415A"/>
        </w:rPr>
        <w:t xml:space="preserve">• </w:t>
      </w:r>
      <w:r>
        <w:rPr>
          <w:b w:val="0"/>
        </w:rPr>
        <w:t>Only £45,000 is paid out on the recommendation. Cash removed from the pension loses the pension wrapper's tax treatment and protection. No investment return, inflation figure, charge or product feature has been assumed.</w:t>
      </w:r>
    </w:p>
    <w:p>
      <w:pPr>
        <w:pStyle w:val="Body"/>
        <w:spacing w:before="0" w:after="20" w:line="240" w:lineRule="auto"/>
        <w:ind w:left="202" w:hanging="144"/>
      </w:pPr>
      <w:r>
        <w:rPr>
          <w:b/>
          <w:color w:val="1F415A"/>
        </w:rPr>
        <w:t xml:space="preserve">• </w:t>
      </w:r>
      <w:r>
        <w:rPr>
          <w:b w:val="0"/>
        </w:rPr>
        <w:t>Taxable UFPLS would trigger the £10,000 MPAA. The intended £16,000 post-access money-purchase contribution is £6,000 above that limit in each tax year; PCLS alone and no taxable drawdown does not itself cause that result.</w:t>
      </w:r>
    </w:p>
    <w:p>
      <w:pPr>
        <w:pStyle w:val="Section"/>
        <w:spacing w:before="100" w:after="40" w:line="240" w:lineRule="auto"/>
      </w:pPr>
      <w:r>
        <w:rPr>
          <w:b/>
          <w:color w:val="1F415A"/>
          <w:sz w:val="20"/>
        </w:rPr>
        <w:t>Pension Wise and approval controls</w:t>
      </w:r>
    </w:p>
    <w:p>
      <w:pPr>
        <w:pStyle w:val="Body"/>
        <w:spacing w:before="0" w:after="40" w:line="240" w:lineRule="auto"/>
      </w:pPr>
      <w:r>
        <w:rPr>
          <w:b w:val="0"/>
        </w:rPr>
        <w:t>Before flexible access, the provider must apply the applicable stronger-nudge process unless an exemption applies: Pension Wise guidance must be received, or the customer must expressly opt out after the required process. Nils is not compelled to attend an appointment. Using the guidance is advisable, but it is not a mandatory customer appointment.</w:t>
      </w:r>
    </w:p>
    <w:p>
      <w:pPr>
        <w:pStyle w:val="Body"/>
        <w:spacing w:before="0" w:after="40" w:line="240" w:lineRule="auto"/>
      </w:pPr>
      <w:r>
        <w:rPr>
          <w:b w:val="0"/>
        </w:rPr>
        <w:t>If either the customer instruction or provider evidence cannot be confirmed, no application should be submitted. The case owner must first obtain Nils's written confirmation of the two net amounts and dates. The provider must then confirm benefit type, the available access method, safeguards or guarantees, and all charges, and provide an illustration. Return the case to Hana for approval only after those confirmations are on file.</w:t>
      </w:r>
    </w:p>
    <w:p>
      <w:pPr>
        <w:pStyle w:val="Section"/>
        <w:spacing w:before="100" w:after="40" w:line="240" w:lineRule="auto"/>
      </w:pPr>
      <w:r>
        <w:rPr>
          <w:b/>
          <w:color w:val="1F415A"/>
          <w:sz w:val="20"/>
        </w:rPr>
        <w:t>Scope</w:t>
      </w:r>
    </w:p>
    <w:p>
      <w:pPr>
        <w:pStyle w:val="Body"/>
        <w:spacing w:before="0" w:after="0" w:line="240" w:lineRule="auto"/>
      </w:pPr>
      <w:r>
        <w:rPr>
          <w:b w:val="0"/>
        </w:rPr>
        <w:t>This recommendation is limited to the stated two-payment objective; it is not a complete assessment of sustainable retirement income. Any wider retirement advice still needs the customer's cash-flow needs, other pensions and assets, debts, health and dependants, investment preferences and tax position.</w:t>
      </w:r>
    </w:p>
    <w:sectPr w:rsidR="00FC693F" w:rsidRPr="0006063C" w:rsidSect="00034616">
      <w:headerReference w:type="default" r:id="rId9"/>
      <w:footerReference w:type="default" r:id="rId10"/>
      <w:pgSz w:w="11905" w:h="16838"/>
      <w:pgMar w:top="662" w:right="792" w:bottom="662" w:left="792" w:header="288"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b w:val="0"/>
        <w:color w:val="5A646C"/>
        <w:sz w:val="13"/>
      </w:rPr>
      <w:t>Internal approval draft  |  Cinderhall Clinic  |  England position: 14 April 2025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b/>
        <w:color w:val="1F415A"/>
        <w:sz w:val="14"/>
      </w:rPr>
      <w:t>YEWBANK PROVISIONS  |  ADVICE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
    <w:name w:val="Body"/>
    <w:basedOn w:val="Normal"/>
    <w:rPr>
      <w:rFonts w:ascii="Arial" w:hAnsi="Arial" w:eastAsia="Arial"/>
      <w:sz w:val="16"/>
    </w:rPr>
  </w:style>
  <w:style w:type="paragraph" w:customStyle="1" w:styleId="Section">
    <w:name w:val="Section"/>
    <w:basedOn w:val="Normal"/>
    <w:rPr>
      <w:rFonts w:ascii="Arial" w:hAnsi="Arial" w:eastAsia="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