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Kingsferry Regional Office Move – Approved Review Packet</w:t>
      </w:r>
    </w:p>
    <w:p>
      <w:r>
        <w:t>Issued 22 December 2025 | Authorized by Priya Demirci (Administrative Services Manager)</w:t>
      </w:r>
    </w:p>
    <w:p>
      <w:pPr>
        <w:pStyle w:val="Heading2"/>
      </w:pPr>
      <w:r>
        <w:t>Approved calendar and access</w:t>
      </w:r>
    </w:p>
    <w:p>
      <w:r>
        <w:t>Move weekends: 7–8 February 2026, 14–15 February 2026, and 21–22 February 2026. Physical work is permitted Saturday and Sunday only. Building and loading access: 07:00–18:00. Annex access: 08:00–19:00. Both vacated floors must be fully cleared and handback-ready by 18:00 on 22 February 2026.</w:t>
      </w:r>
    </w:p>
    <w:p>
      <w:r>
        <w:t>Loading dock: one vehicle at a time; each vehicle arrival requires a 30-minute turnover before the next vehicle. Freight elevator E1 is the only elevator: one reservation at a time, 45 minutes per trip including loading/unloading, with a 15-minute turnover between reservations. Elevator attendant is billed in 30-minute blocks, 1-block minimum.</w:t>
      </w:r>
    </w:p>
    <w:p>
      <w:pPr>
        <w:pStyle w:val="Heading2"/>
      </w:pPr>
      <w:r>
        <w:t>Swing floor and records vault</w:t>
      </w:r>
    </w:p>
    <w:p>
      <w:r>
        <w:t>Swing Floor S is available from 07:00 on 7 February. Only one department may occupy S at a time; occupancy continues across nights and weekends until that department physically departs for its final annex destination. IT may use S only as a temporary stage and must leave S before another department can stage.</w:t>
      </w:r>
    </w:p>
    <w:p>
      <w:r>
        <w:t>Records Vault access is escorted by Linnea Laurent only during 14 February 09:00–12:00 and 21 February 09:00–11:00. All opening, handling and closing activity must remain within an escort interval. Escort billing is $120/hour in quarter-hour increments, 1-hour minimum per continuous window.</w:t>
      </w:r>
    </w:p>
    <w:p>
      <w:pPr>
        <w:pStyle w:val="Heading2"/>
      </w:pPr>
      <w:r>
        <w:t>Rates and contract terms</w:t>
      </w:r>
    </w:p>
    <w:p>
      <w:r>
        <w:t>Crew regular rate: $180 per crew-hour; premium rate: 1.5× regular ($270 per crew-hour) after four consecutive paid hours in a crew-day. Mobilization: $350 per crew mobilization, one per crew per day. Freight vehicle block: $900 per vehicle movement. Elevator attendant: $75 per 30-minute block. Vault escort: $120/hour. No separate charge for empty-tote return trips when included in the row note.</w:t>
      </w:r>
    </w:p>
    <w:p>
      <w:r>
        <w:t>Premium interpretation required for the IT chain: the 1.0-hour paid staging interval on 7 February is treated here as paid time under employer control and therefore does not reset the consecutive-hours clock. This is the continuing-clock branch; premium begins after four paid hours.</w:t>
      </w:r>
    </w:p>
    <w:p>
      <w:pPr>
        <w:pStyle w:val="Heading2"/>
      </w:pPr>
      <w:r>
        <w:t>Department decisions and comment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Comment</w:t>
            </w:r>
          </w:p>
        </w:tc>
        <w:tc>
          <w:tcPr>
            <w:tcW w:type="dxa" w:w="2045"/>
          </w:tcPr>
          <w:p>
            <w:r>
              <w:t>Disposition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  <w:tc>
          <w:tcPr>
            <w:tcW w:type="dxa" w:w="2045"/>
          </w:tcPr>
          <w:p>
            <w:r>
              <w:t>Due</w:t>
            </w:r>
          </w:p>
        </w:tc>
      </w:tr>
      <w:tr>
        <w:tc>
          <w:tcPr>
            <w:tcW w:type="dxa" w:w="2045"/>
          </w:tcPr>
          <w:p>
            <w:r>
              <w:t>C-01</w:t>
            </w:r>
          </w:p>
        </w:tc>
        <w:tc>
          <w:tcPr>
            <w:tcW w:type="dxa" w:w="2045"/>
          </w:tcPr>
          <w:p>
            <w:r>
              <w:t>Leonie Sandoval must have a bookable sequence on 2 January.</w:t>
            </w:r>
          </w:p>
        </w:tc>
        <w:tc>
          <w:tcPr>
            <w:tcW w:type="dxa" w:w="2045"/>
          </w:tcPr>
          <w:p>
            <w:r>
              <w:t>Incorporated: this revised workpaper is the booking basis.</w:t>
            </w:r>
          </w:p>
        </w:tc>
        <w:tc>
          <w:tcPr>
            <w:tcW w:type="dxa" w:w="2045"/>
          </w:tcPr>
          <w:p>
            <w:r>
              <w:t>Leonie Sandoval</w:t>
            </w:r>
          </w:p>
        </w:tc>
        <w:tc>
          <w:tcPr>
            <w:tcW w:type="dxa" w:w="2045"/>
          </w:tcPr>
          <w:p>
            <w:r>
              <w:t>2026-01-02</w:t>
            </w:r>
          </w:p>
        </w:tc>
      </w:tr>
      <w:tr>
        <w:tc>
          <w:tcPr>
            <w:tcW w:type="dxa" w:w="2045"/>
          </w:tcPr>
          <w:p>
            <w:r>
              <w:t>C-02</w:t>
            </w:r>
          </w:p>
        </w:tc>
        <w:tc>
          <w:tcPr>
            <w:tcW w:type="dxa" w:w="2045"/>
          </w:tcPr>
          <w:p>
            <w:r>
              <w:t>IT must stage on S on Weekend 1 and finish in Annex Floor 3 on Weekend 2 after network cutover.</w:t>
            </w:r>
          </w:p>
        </w:tc>
        <w:tc>
          <w:tcPr>
            <w:tcW w:type="dxa" w:w="2045"/>
          </w:tcPr>
          <w:p>
            <w:r>
              <w:t>Incorporated as IT-01A / IT-01B split with persistent S occupancy.</w:t>
            </w:r>
          </w:p>
        </w:tc>
        <w:tc>
          <w:tcPr>
            <w:tcW w:type="dxa" w:w="2045"/>
          </w:tcPr>
          <w:p>
            <w:r>
              <w:t>Maren Chakraborty</w:t>
            </w:r>
          </w:p>
        </w:tc>
        <w:tc>
          <w:tcPr>
            <w:tcW w:type="dxa" w:w="2045"/>
          </w:tcPr>
          <w:p>
            <w:r>
              <w:t>2026-01-05</w:t>
            </w:r>
          </w:p>
        </w:tc>
      </w:tr>
      <w:tr>
        <w:tc>
          <w:tcPr>
            <w:tcW w:type="dxa" w:w="2045"/>
          </w:tcPr>
          <w:p>
            <w:r>
              <w:t>C-03</w:t>
            </w:r>
          </w:p>
        </w:tc>
        <w:tc>
          <w:tcPr>
            <w:tcW w:type="dxa" w:w="2045"/>
          </w:tcPr>
          <w:p>
            <w:r>
              <w:t>Records vault work must use the amended escorted windows.</w:t>
            </w:r>
          </w:p>
        </w:tc>
        <w:tc>
          <w:tcPr>
            <w:tcW w:type="dxa" w:w="2045"/>
          </w:tcPr>
          <w:p>
            <w:r>
              <w:t>Incorporated: REC-01 scheduled 14 Feb within 09:00–12:00 escort.</w:t>
            </w:r>
          </w:p>
        </w:tc>
        <w:tc>
          <w:tcPr>
            <w:tcW w:type="dxa" w:w="2045"/>
          </w:tcPr>
          <w:p>
            <w:r>
              <w:t>Linnea Laurent</w:t>
            </w:r>
          </w:p>
        </w:tc>
        <w:tc>
          <w:tcPr>
            <w:tcW w:type="dxa" w:w="2045"/>
          </w:tcPr>
          <w:p>
            <w:r>
              <w:t>2026-01-16</w:t>
            </w:r>
          </w:p>
        </w:tc>
      </w:tr>
      <w:tr>
        <w:tc>
          <w:tcPr>
            <w:tcW w:type="dxa" w:w="2045"/>
          </w:tcPr>
          <w:p>
            <w:r>
              <w:t>C-04</w:t>
            </w:r>
          </w:p>
        </w:tc>
        <w:tc>
          <w:tcPr>
            <w:tcW w:type="dxa" w:w="2045"/>
          </w:tcPr>
          <w:p>
            <w:r>
              <w:t>Legal final destination is Annex Floor 3, not Floor 2.</w:t>
            </w:r>
          </w:p>
        </w:tc>
        <w:tc>
          <w:tcPr>
            <w:tcW w:type="dxa" w:w="2045"/>
          </w:tcPr>
          <w:p>
            <w:r>
              <w:t>Incorporated: LEG-01 destination changed to Annex Floor 3.</w:t>
            </w:r>
          </w:p>
        </w:tc>
        <w:tc>
          <w:tcPr>
            <w:tcW w:type="dxa" w:w="2045"/>
          </w:tcPr>
          <w:p>
            <w:r>
              <w:t>Priya Demirci</w:t>
            </w:r>
          </w:p>
        </w:tc>
        <w:tc>
          <w:tcPr>
            <w:tcW w:type="dxa" w:w="2045"/>
          </w:tcPr>
          <w:p>
            <w:r>
              <w:t>2026-01-09</w:t>
            </w:r>
          </w:p>
        </w:tc>
      </w:tr>
      <w:tr>
        <w:tc>
          <w:tcPr>
            <w:tcW w:type="dxa" w:w="2045"/>
          </w:tcPr>
          <w:p>
            <w:r>
              <w:t>C-05</w:t>
            </w:r>
          </w:p>
        </w:tc>
        <w:tc>
          <w:tcPr>
            <w:tcW w:type="dxa" w:w="2045"/>
          </w:tcPr>
          <w:p>
            <w:r>
              <w:t>Freight capacity is 600 cu ft per vehicle block.</w:t>
            </w:r>
          </w:p>
        </w:tc>
        <w:tc>
          <w:tcPr>
            <w:tcW w:type="dxa" w:w="2045"/>
          </w:tcPr>
          <w:p>
            <w:r>
              <w:t>Incorporated: OPS-01 uses two blocks; all other loads fit one.</w:t>
            </w:r>
          </w:p>
        </w:tc>
        <w:tc>
          <w:tcPr>
            <w:tcW w:type="dxa" w:w="2045"/>
          </w:tcPr>
          <w:p>
            <w:r>
              <w:t>Leonie Sandoval</w:t>
            </w:r>
          </w:p>
        </w:tc>
        <w:tc>
          <w:tcPr>
            <w:tcW w:type="dxa" w:w="2045"/>
          </w:tcPr>
          <w:p>
            <w:r>
              <w:t>2026-01-02</w:t>
            </w:r>
          </w:p>
        </w:tc>
      </w:tr>
      <w:tr>
        <w:tc>
          <w:tcPr>
            <w:tcW w:type="dxa" w:w="2045"/>
          </w:tcPr>
          <w:p>
            <w:r>
              <w:t>C-06</w:t>
            </w:r>
          </w:p>
        </w:tc>
        <w:tc>
          <w:tcPr>
            <w:tcW w:type="dxa" w:w="2045"/>
          </w:tcPr>
          <w:p>
            <w:r>
              <w:t>Single-elevator conflict in draft must be removed by resequencing.</w:t>
            </w:r>
          </w:p>
        </w:tc>
        <w:tc>
          <w:tcPr>
            <w:tcW w:type="dxa" w:w="2045"/>
          </w:tcPr>
          <w:p>
            <w:r>
              <w:t>Incorporated: reservations are sequential and displayed explicitly.</w:t>
            </w:r>
          </w:p>
        </w:tc>
        <w:tc>
          <w:tcPr>
            <w:tcW w:type="dxa" w:w="2045"/>
          </w:tcPr>
          <w:p>
            <w:r>
              <w:t>Leonie Sandoval</w:t>
            </w:r>
          </w:p>
        </w:tc>
        <w:tc>
          <w:tcPr>
            <w:tcW w:type="dxa" w:w="2045"/>
          </w:tcPr>
          <w:p>
            <w:r>
              <w:t>2026-01-02</w:t>
            </w:r>
          </w:p>
        </w:tc>
      </w:tr>
      <w:tr>
        <w:tc>
          <w:tcPr>
            <w:tcW w:type="dxa" w:w="2045"/>
          </w:tcPr>
          <w:p>
            <w:r>
              <w:t>C-07</w:t>
            </w:r>
          </w:p>
        </w:tc>
        <w:tc>
          <w:tcPr>
            <w:tcW w:type="dxa" w:w="2045"/>
          </w:tcPr>
          <w:p>
            <w:r>
              <w:t>Confirm Annex Floor 3 network cutover before IT final placement.</w:t>
            </w:r>
          </w:p>
        </w:tc>
        <w:tc>
          <w:tcPr>
            <w:tcW w:type="dxa" w:w="2045"/>
          </w:tcPr>
          <w:p>
            <w:r>
              <w:t>Outstanding action: confirm cutover slot before IT-01B.</w:t>
            </w:r>
          </w:p>
        </w:tc>
        <w:tc>
          <w:tcPr>
            <w:tcW w:type="dxa" w:w="2045"/>
          </w:tcPr>
          <w:p>
            <w:r>
              <w:t>Maren Chakraborty</w:t>
            </w:r>
          </w:p>
        </w:tc>
        <w:tc>
          <w:tcPr>
            <w:tcW w:type="dxa" w:w="2045"/>
          </w:tcPr>
          <w:p>
            <w:r>
              <w:t>2026-02-06</w:t>
            </w:r>
          </w:p>
        </w:tc>
      </w:tr>
      <w:tr>
        <w:tc>
          <w:tcPr>
            <w:tcW w:type="dxa" w:w="2045"/>
          </w:tcPr>
          <w:p>
            <w:r>
              <w:t>C-08</w:t>
            </w:r>
          </w:p>
        </w:tc>
        <w:tc>
          <w:tcPr>
            <w:tcW w:type="dxa" w:w="2045"/>
          </w:tcPr>
          <w:p>
            <w:r>
              <w:t>Client-ready summary required for Magda Carmody.</w:t>
            </w:r>
          </w:p>
        </w:tc>
        <w:tc>
          <w:tcPr>
            <w:tcW w:type="dxa" w:w="2045"/>
          </w:tcPr>
          <w:p>
            <w:r>
              <w:t>Incorporated: accompanying brief issued with this plan.</w:t>
            </w:r>
          </w:p>
        </w:tc>
        <w:tc>
          <w:tcPr>
            <w:tcW w:type="dxa" w:w="2045"/>
          </w:tcPr>
          <w:p>
            <w:r>
              <w:t>Priya Demirci</w:t>
            </w:r>
          </w:p>
        </w:tc>
        <w:tc>
          <w:tcPr>
            <w:tcW w:type="dxa" w:w="2045"/>
          </w:tcPr>
          <w:p>
            <w:r>
              <w:t>2026-01-06</w:t>
            </w:r>
          </w:p>
        </w:tc>
      </w:tr>
    </w:tbl>
    <w:p>
      <w:pPr>
        <w:pStyle w:val="Heading2"/>
      </w:pPr>
      <w:r>
        <w:t>Changed facts / row exceptions</w:t>
      </w:r>
    </w:p>
    <w:p>
      <w:r>
        <w:t>FIN-01 includes the empty-tote return within its stated crew time and one vehicle block. IT-01 is explicitly split into a Weekend 1 stage and Weekend 2 final placement. OPS-01 quantity is 600 cu ft per vehicle block and requires two blocks. COM-01 may move only after OPS-01 clears the dock. All notes in the draft workbook remain authoritative where they conflict with ordinary columns.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