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Case authority and scope</w:t>
      </w:r>
    </w:p>
    <w:p>
      <w:pPr>
        <w:spacing w:after="160"/>
      </w:pPr>
      <w:r>
        <w:rPr>
          <w:b/>
          <w:color w:val="2D6F73"/>
          <w:sz w:val="22"/>
        </w:rPr>
        <w:t>Vantridge Manufacturing retail-counter review</w:t>
      </w:r>
    </w:p>
    <w:tbl>
      <w:tblPr>
        <w:tblW w:type="auto" w:w="0"/>
        <w:jc w:val="left"/>
        <w:tblLayout w:type="fixed"/>
        <w:tblLook w:firstColumn="1" w:firstRow="1" w:lastColumn="0" w:lastRow="0" w:noHBand="0" w:noVBand="1" w:val="04A0"/>
      </w:tblPr>
      <w:tblGrid>
        <w:gridCol w:w="2232"/>
        <w:gridCol w:w="8352"/>
      </w:tblGrid>
      <w:tr>
        <w:trPr>
          <w:tblHeader w:val="true"/>
        </w:trPr>
        <w:tc>
          <w:tcPr>
            <w:tcW w:type="dxa" w:w="2232"/>
            <w:shd w:fill="E8F0F2"/>
            <w:vAlign w:val="center"/>
            <w:tcBorders>
              <w:top w:sz="4" w:val="single" w:color="D1DDE1"/>
              <w:left w:sz="4" w:val="single" w:color="D1DDE1"/>
              <w:bottom w:sz="4" w:val="single" w:color="D1DDE1"/>
              <w:right w:sz="4" w:val="single" w:color="D1DDE1"/>
            </w:tcBorders>
          </w:tcPr>
          <w:p>
            <w:pPr>
              <w:spacing w:after="20"/>
            </w:pPr>
            <w:r>
              <w:rPr>
                <w:rFonts w:ascii="Arial" w:hAnsi="Arial"/>
                <w:b/>
                <w:color w:val="17324D"/>
                <w:sz w:val="17"/>
              </w:rPr>
              <w:t>Case reference</w:t>
            </w:r>
          </w:p>
        </w:tc>
        <w:tc>
          <w:tcPr>
            <w:tcW w:type="dxa" w:w="8352"/>
            <w:vAlign w:val="center"/>
            <w:tcBorders>
              <w:top w:sz="4" w:val="single" w:color="D1DDE1"/>
              <w:left w:sz="4" w:val="single" w:color="D1DDE1"/>
              <w:bottom w:sz="4" w:val="single" w:color="D1DDE1"/>
              <w:right w:sz="4" w:val="single" w:color="D1DDE1"/>
            </w:tcBorders>
          </w:tcPr>
          <w:p>
            <w:pPr>
              <w:spacing w:after="20"/>
            </w:pPr>
            <w:r>
              <w:rPr>
                <w:rFonts w:ascii="Arial" w:hAnsi="Arial"/>
                <w:sz w:val="17"/>
              </w:rPr>
              <w:t>UM-VM-2705-17</w:t>
            </w:r>
          </w:p>
        </w:tc>
      </w:tr>
      <w:tr>
        <w:tc>
          <w:tcPr>
            <w:tcW w:type="dxa" w:w="2232"/>
            <w:shd w:fill="E8F0F2"/>
            <w:vAlign w:val="center"/>
            <w:tcBorders>
              <w:top w:sz="4" w:val="single" w:color="D1DDE1"/>
              <w:left w:sz="4" w:val="single" w:color="D1DDE1"/>
              <w:bottom w:sz="4" w:val="single" w:color="D1DDE1"/>
              <w:right w:sz="4" w:val="single" w:color="D1DDE1"/>
            </w:tcBorders>
          </w:tcPr>
          <w:p>
            <w:pPr>
              <w:spacing w:after="20"/>
            </w:pPr>
            <w:r>
              <w:rPr>
                <w:rFonts w:ascii="Arial" w:hAnsi="Arial"/>
                <w:b/>
                <w:color w:val="17324D"/>
                <w:sz w:val="17"/>
              </w:rPr>
              <w:t>Client</w:t>
            </w:r>
          </w:p>
        </w:tc>
        <w:tc>
          <w:tcPr>
            <w:tcW w:type="dxa" w:w="8352"/>
            <w:vAlign w:val="center"/>
            <w:tcBorders>
              <w:top w:sz="4" w:val="single" w:color="D1DDE1"/>
              <w:left w:sz="4" w:val="single" w:color="D1DDE1"/>
              <w:bottom w:sz="4" w:val="single" w:color="D1DDE1"/>
              <w:right w:sz="4" w:val="single" w:color="D1DDE1"/>
            </w:tcBorders>
          </w:tcPr>
          <w:p>
            <w:pPr>
              <w:spacing w:after="20"/>
            </w:pPr>
            <w:r>
              <w:rPr>
                <w:rFonts w:ascii="Arial" w:hAnsi="Arial"/>
                <w:sz w:val="17"/>
              </w:rPr>
              <w:t>Vantridge Manufacturing</w:t>
            </w:r>
          </w:p>
        </w:tc>
      </w:tr>
      <w:tr>
        <w:tc>
          <w:tcPr>
            <w:tcW w:type="dxa" w:w="2232"/>
            <w:shd w:fill="E8F0F2"/>
            <w:vAlign w:val="center"/>
            <w:tcBorders>
              <w:top w:sz="4" w:val="single" w:color="D1DDE1"/>
              <w:left w:sz="4" w:val="single" w:color="D1DDE1"/>
              <w:bottom w:sz="4" w:val="single" w:color="D1DDE1"/>
              <w:right w:sz="4" w:val="single" w:color="D1DDE1"/>
            </w:tcBorders>
          </w:tcPr>
          <w:p>
            <w:pPr>
              <w:spacing w:after="20"/>
            </w:pPr>
            <w:r>
              <w:rPr>
                <w:rFonts w:ascii="Arial" w:hAnsi="Arial"/>
                <w:b/>
                <w:color w:val="17324D"/>
                <w:sz w:val="17"/>
              </w:rPr>
              <w:t>Investigator</w:t>
            </w:r>
          </w:p>
        </w:tc>
        <w:tc>
          <w:tcPr>
            <w:tcW w:type="dxa" w:w="8352"/>
            <w:vAlign w:val="center"/>
            <w:tcBorders>
              <w:top w:sz="4" w:val="single" w:color="D1DDE1"/>
              <w:left w:sz="4" w:val="single" w:color="D1DDE1"/>
              <w:bottom w:sz="4" w:val="single" w:color="D1DDE1"/>
              <w:right w:sz="4" w:val="single" w:color="D1DDE1"/>
            </w:tcBorders>
          </w:tcPr>
          <w:p>
            <w:pPr>
              <w:spacing w:after="20"/>
            </w:pPr>
            <w:r>
              <w:rPr>
                <w:rFonts w:ascii="Arial" w:hAnsi="Arial"/>
                <w:sz w:val="17"/>
              </w:rPr>
              <w:t>Alia Nightingale - Investigator, Underhill Mutual</w:t>
            </w:r>
          </w:p>
        </w:tc>
      </w:tr>
      <w:tr>
        <w:tc>
          <w:tcPr>
            <w:tcW w:type="dxa" w:w="2232"/>
            <w:shd w:fill="E8F0F2"/>
            <w:vAlign w:val="center"/>
            <w:tcBorders>
              <w:top w:sz="4" w:val="single" w:color="D1DDE1"/>
              <w:left w:sz="4" w:val="single" w:color="D1DDE1"/>
              <w:bottom w:sz="4" w:val="single" w:color="D1DDE1"/>
              <w:right w:sz="4" w:val="single" w:color="D1DDE1"/>
            </w:tcBorders>
          </w:tcPr>
          <w:p>
            <w:pPr>
              <w:spacing w:after="20"/>
            </w:pPr>
            <w:r>
              <w:rPr>
                <w:rFonts w:ascii="Arial" w:hAnsi="Arial"/>
                <w:b/>
                <w:color w:val="17324D"/>
                <w:sz w:val="17"/>
              </w:rPr>
              <w:t>Decision-maker</w:t>
            </w:r>
          </w:p>
        </w:tc>
        <w:tc>
          <w:tcPr>
            <w:tcW w:type="dxa" w:w="8352"/>
            <w:vAlign w:val="center"/>
            <w:tcBorders>
              <w:top w:sz="4" w:val="single" w:color="D1DDE1"/>
              <w:left w:sz="4" w:val="single" w:color="D1DDE1"/>
              <w:bottom w:sz="4" w:val="single" w:color="D1DDE1"/>
              <w:right w:sz="4" w:val="single" w:color="D1DDE1"/>
            </w:tcBorders>
          </w:tcPr>
          <w:p>
            <w:pPr>
              <w:spacing w:after="20"/>
            </w:pPr>
            <w:r>
              <w:rPr>
                <w:rFonts w:ascii="Arial" w:hAnsi="Arial"/>
                <w:sz w:val="17"/>
              </w:rPr>
              <w:t>Lachlan Wolstenholme - Case Operations Manager, Underhill Mutual</w:t>
            </w:r>
          </w:p>
        </w:tc>
      </w:tr>
      <w:tr>
        <w:tc>
          <w:tcPr>
            <w:tcW w:type="dxa" w:w="2232"/>
            <w:shd w:fill="E8F0F2"/>
            <w:vAlign w:val="center"/>
            <w:tcBorders>
              <w:top w:sz="4" w:val="single" w:color="D1DDE1"/>
              <w:left w:sz="4" w:val="single" w:color="D1DDE1"/>
              <w:bottom w:sz="4" w:val="single" w:color="D1DDE1"/>
              <w:right w:sz="4" w:val="single" w:color="D1DDE1"/>
            </w:tcBorders>
          </w:tcPr>
          <w:p>
            <w:pPr>
              <w:spacing w:after="20"/>
            </w:pPr>
            <w:r>
              <w:rPr>
                <w:rFonts w:ascii="Arial" w:hAnsi="Arial"/>
                <w:b/>
                <w:color w:val="17324D"/>
                <w:sz w:val="17"/>
              </w:rPr>
              <w:t>Jurisdiction</w:t>
            </w:r>
          </w:p>
        </w:tc>
        <w:tc>
          <w:tcPr>
            <w:tcW w:type="dxa" w:w="8352"/>
            <w:vAlign w:val="center"/>
            <w:tcBorders>
              <w:top w:sz="4" w:val="single" w:color="D1DDE1"/>
              <w:left w:sz="4" w:val="single" w:color="D1DDE1"/>
              <w:bottom w:sz="4" w:val="single" w:color="D1DDE1"/>
              <w:right w:sz="4" w:val="single" w:color="D1DDE1"/>
            </w:tcBorders>
          </w:tcPr>
          <w:p>
            <w:pPr>
              <w:spacing w:after="20"/>
            </w:pPr>
            <w:r>
              <w:rPr>
                <w:rFonts w:ascii="Arial" w:hAnsi="Arial"/>
                <w:sz w:val="17"/>
              </w:rPr>
              <w:t>England and Wales</w:t>
            </w:r>
          </w:p>
        </w:tc>
      </w:tr>
      <w:tr>
        <w:tc>
          <w:tcPr>
            <w:tcW w:type="dxa" w:w="2232"/>
            <w:shd w:fill="E8F0F2"/>
            <w:vAlign w:val="center"/>
            <w:tcBorders>
              <w:top w:sz="4" w:val="single" w:color="D1DDE1"/>
              <w:left w:sz="4" w:val="single" w:color="D1DDE1"/>
              <w:bottom w:sz="4" w:val="single" w:color="D1DDE1"/>
              <w:right w:sz="4" w:val="single" w:color="D1DDE1"/>
            </w:tcBorders>
          </w:tcPr>
          <w:p>
            <w:pPr>
              <w:spacing w:after="20"/>
            </w:pPr>
            <w:r>
              <w:rPr>
                <w:rFonts w:ascii="Arial" w:hAnsi="Arial"/>
                <w:b/>
                <w:color w:val="17324D"/>
                <w:sz w:val="17"/>
              </w:rPr>
              <w:t>Requirements as-of</w:t>
            </w:r>
          </w:p>
        </w:tc>
        <w:tc>
          <w:tcPr>
            <w:tcW w:type="dxa" w:w="8352"/>
            <w:vAlign w:val="center"/>
            <w:tcBorders>
              <w:top w:sz="4" w:val="single" w:color="D1DDE1"/>
              <w:left w:sz="4" w:val="single" w:color="D1DDE1"/>
              <w:bottom w:sz="4" w:val="single" w:color="D1DDE1"/>
              <w:right w:sz="4" w:val="single" w:color="D1DDE1"/>
            </w:tcBorders>
          </w:tcPr>
          <w:p>
            <w:pPr>
              <w:spacing w:after="20"/>
            </w:pPr>
            <w:r>
              <w:rPr>
                <w:rFonts w:ascii="Arial" w:hAnsi="Arial"/>
                <w:sz w:val="17"/>
              </w:rPr>
              <w:t>12 May 2027</w:t>
            </w:r>
          </w:p>
        </w:tc>
      </w:tr>
      <w:tr>
        <w:tc>
          <w:tcPr>
            <w:tcW w:type="dxa" w:w="2232"/>
            <w:shd w:fill="E8F0F2"/>
            <w:vAlign w:val="center"/>
            <w:tcBorders>
              <w:top w:sz="4" w:val="single" w:color="D1DDE1"/>
              <w:left w:sz="4" w:val="single" w:color="D1DDE1"/>
              <w:bottom w:sz="4" w:val="single" w:color="D1DDE1"/>
              <w:right w:sz="4" w:val="single" w:color="D1DDE1"/>
            </w:tcBorders>
          </w:tcPr>
          <w:p>
            <w:pPr>
              <w:spacing w:after="20"/>
            </w:pPr>
            <w:r>
              <w:rPr>
                <w:rFonts w:ascii="Arial" w:hAnsi="Arial"/>
                <w:b/>
                <w:color w:val="17324D"/>
                <w:sz w:val="17"/>
              </w:rPr>
              <w:t>Operational deadline</w:t>
            </w:r>
          </w:p>
        </w:tc>
        <w:tc>
          <w:tcPr>
            <w:tcW w:type="dxa" w:w="8352"/>
            <w:vAlign w:val="center"/>
            <w:tcBorders>
              <w:top w:sz="4" w:val="single" w:color="D1DDE1"/>
              <w:left w:sz="4" w:val="single" w:color="D1DDE1"/>
              <w:bottom w:sz="4" w:val="single" w:color="D1DDE1"/>
              <w:right w:sz="4" w:val="single" w:color="D1DDE1"/>
            </w:tcBorders>
          </w:tcPr>
          <w:p>
            <w:pPr>
              <w:spacing w:after="20"/>
            </w:pPr>
            <w:r>
              <w:rPr>
                <w:rFonts w:ascii="Arial" w:hAnsi="Arial"/>
                <w:sz w:val="17"/>
              </w:rPr>
              <w:t>14 May 2027, 16:00 BST</w:t>
            </w:r>
          </w:p>
        </w:tc>
      </w:tr>
    </w:tbl>
    <w:p>
      <w:pPr>
        <w:pStyle w:val="Heading1"/>
      </w:pPr>
      <w:r>
        <w:t>Purpose and decision question</w:t>
      </w:r>
    </w:p>
    <w:p>
      <w:r>
        <w:t>Underhill Mutual is reviewing a Vantridge Manufacturing retail-counter case file. Lachlan Wolstenholme must decide whether to authorize a targeted interview of Odile Chidozie about the in-scope retail-counter and pricing-record activity, and whether to authorize an amended access-control arrangement for the Retail Counter Pricing workspace. The question is whether those proportionate next steps are supported by the recorded evidence and can be authorized under the England and Wales requirements snapshot dated 12 May 2027.</w:t>
      </w:r>
    </w:p>
    <w:p>
      <w:pPr>
        <w:pStyle w:val="Heading1"/>
      </w:pPr>
      <w:r>
        <w:t>Scope boundary</w:t>
      </w:r>
    </w:p>
    <w:p>
      <w:r>
        <w:t>Include retail-counter visits and directly linked access activity from 4 May through 11 May 2027 where the source-visit key links the records. Review only activity relevant to pricing or quote records and Odile Chidozie's assigned access. A matching visit key, rate, or timestamp is an indicator to clarify, not a finding of intent or misconduct.</w:t>
      </w:r>
    </w:p>
    <w:p>
      <w:r>
        <w:t>The Warehouse Receiving badge record with Source Visit Key SVK-270511-WH-04, associated with Idris Lockhart, is outside this case question. Retain it in the source corpus for auditability, but do not use it as a basis for the interview or an access restriction. Lachlan Almeida is Vantridge Manufacturing's retail-counter supervisor and may be a factual contact; he is not the subject of the proposed interview.</w:t>
      </w:r>
    </w:p>
    <w:p>
      <w:pPr>
        <w:pStyle w:val="Heading1"/>
      </w:pPr>
      <w:r>
        <w:t>Source-visit key</w:t>
      </w:r>
    </w:p>
    <w:p>
      <w:r>
        <w:t>The exact field label is "Source Visit Key". Its value identifies one underlying evidential visit across the counter and access exports. Matching values are one visit even when they appear in both workbooks; different values remain separate visits even when an employee, date, or rate appears similar.</w:t>
      </w:r>
    </w:p>
    <w:p>
      <w:pPr>
        <w:pStyle w:val="Heading1"/>
      </w:pPr>
      <w:r>
        <w:t>Authority and permitted case-file changes</w:t>
      </w:r>
    </w:p>
    <w:p>
      <w:r>
        <w:t>Alia Nightingale may add a canonical evidence index keyed by Source Visit Key, retain the originating source record IDs, record the scope disposition, and document any reconciliation or normalization judgement. She may record the case status as decision pending and attach the resulting memorandum.</w:t>
      </w:r>
    </w:p>
    <w:p>
      <w:r>
        <w:t>This authority permits documentation in the case file only. It does not permit editing either source workbook or changing an external access-management system. Any interview and any access amendment remain recommendations for Lachlan Wolstenholme to approve. Idris Lockhart is the Underhill Mutual access administrator who supplied the access extract and can implement a separately approved change; Lachlan Almeida remains the Vantridge operational contact.</w:t>
      </w:r>
    </w:p>
    <w:p>
      <w:pPr>
        <w:pStyle w:val="Heading1"/>
      </w:pPr>
      <w:r>
        <w:t>Deadline</w:t>
      </w:r>
    </w:p>
    <w:p>
      <w:r>
        <w:t>Lachlan Wolstenholme must record the decision and the next owner by 14 May 2027, 16:00 BST. Any approved interview arrangement and access-control instruction should be issued from that recorded decision.</w:t>
      </w:r>
    </w:p>
    <w:sectPr w:rsidR="00FC693F" w:rsidRPr="0006063C" w:rsidSect="00034616">
      <w:headerReference w:type="default" r:id="rId9"/>
      <w:footerReference w:type="default" r:id="rId10"/>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C74"/>
        <w:sz w:val="15"/>
      </w:rPr>
      <w:t>Case UM-VM-2705-17  |  Authority note  |  Issued 12 May 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F6C74"/>
        <w:sz w:val="15"/>
      </w:rPr>
      <w:t>UNDERHILL MUTUAL  |  INTERNAL CASE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23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2D6F73"/>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60"/>
      <w:contextualSpacing/>
    </w:pPr>
    <w:rPr>
      <w:rFonts w:asciiTheme="majorHAnsi" w:eastAsiaTheme="majorEastAsia" w:hAnsiTheme="majorHAnsi" w:cstheme="majorBidi" w:ascii="Arial" w:hAnsi="Arial"/>
      <w:b/>
      <w:color w:val="17324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