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Recommendation: Northmere Interval Credit Fund</w:t>
      </w:r>
    </w:p>
    <w:p>
      <w:pPr>
        <w:spacing w:after="140"/>
      </w:pPr>
      <w:r>
        <w:rPr>
          <w:b/>
          <w:color w:val="17365D"/>
          <w:sz w:val="18"/>
        </w:rPr>
        <w:t xml:space="preserve">To: </w:t>
      </w:r>
      <w:r>
        <w:rPr>
          <w:b w:val="0"/>
          <w:sz w:val="18"/>
        </w:rPr>
        <w:t xml:space="preserve">Aldbourne Foundation Investment Committee  |  </w:t>
      </w:r>
      <w:r>
        <w:rPr>
          <w:b/>
          <w:color w:val="17365D"/>
          <w:sz w:val="18"/>
        </w:rPr>
        <w:t xml:space="preserve">Decision date: </w:t>
      </w:r>
      <w:r>
        <w:rPr>
          <w:b w:val="0"/>
          <w:sz w:val="18"/>
        </w:rPr>
        <w:t xml:space="preserve">12 December  |  </w:t>
      </w:r>
      <w:r>
        <w:rPr>
          <w:b/>
          <w:color w:val="17365D"/>
          <w:sz w:val="18"/>
        </w:rPr>
        <w:t xml:space="preserve">From: </w:t>
      </w:r>
      <w:r>
        <w:rPr>
          <w:b w:val="0"/>
          <w:sz w:val="18"/>
        </w:rPr>
        <w:t>Lorcan Toledano, Senior Coverage Officer, Rushmere Chambers</w:t>
      </w:r>
    </w:p>
    <w:tbl>
      <w:tblPr>
        <w:tblW w:type="auto" w:w="0"/>
        <w:jc w:val="center"/>
        <w:tblLook w:firstColumn="1" w:firstRow="1" w:lastColumn="0" w:lastRow="0" w:noHBand="0" w:noVBand="1" w:val="04A0"/>
      </w:tblPr>
      <w:tblGrid>
        <w:gridCol w:w="10454"/>
      </w:tblGrid>
      <w:tr>
        <w:tc>
          <w:tcPr>
            <w:tcW w:type="dxa" w:w="10454"/>
            <w:shd w:fill="EAF1F8"/>
            <w:tcMar>
              <w:top w:w="110" w:type="dxa"/>
              <w:start w:w="140" w:type="dxa"/>
              <w:bottom w:w="110" w:type="dxa"/>
              <w:end w:w="140" w:type="dxa"/>
            </w:tcMar>
          </w:tcPr>
          <w:p>
            <w:pPr>
              <w:spacing w:after="0"/>
            </w:pPr>
            <w:r>
              <w:rPr>
                <w:b/>
                <w:color w:val="17365D"/>
                <w:sz w:val="20"/>
              </w:rPr>
              <w:t xml:space="preserve">Decision. </w:t>
            </w:r>
            <w:r>
              <w:rPr>
                <w:b/>
                <w:sz w:val="20"/>
              </w:rPr>
              <w:t xml:space="preserve">Allocate the proposed $12 million to Northmere Interval Credit Fund. </w:t>
            </w:r>
            <w:r>
              <w:rPr>
                <w:b w:val="0"/>
                <w:sz w:val="20"/>
              </w:rPr>
              <w:t>Its lower stated yield and higher fee load are acceptable under the committee’s five-year, no-near-term-operating-cash assumption because its stronger contractual redemption terms, lower stated leverage, and no identified leadership-transition issue outweigh Harrowgate’s income-and-cost advantage for this allocation.</w:t>
            </w:r>
          </w:p>
        </w:tc>
      </w:tr>
    </w:tbl>
    <w:p>
      <w:pPr>
        <w:pStyle w:val="Heading1"/>
      </w:pPr>
      <w:r>
        <w:t>Scope, facts and meaning of “liquidity”</w:t>
      </w:r>
    </w:p>
    <w:p>
      <w:r>
        <w:rPr>
          <w:b/>
        </w:rPr>
        <w:t xml:space="preserve">Source and scope. </w:t>
      </w:r>
      <w:r>
        <w:rPr>
          <w:b w:val="0"/>
        </w:rPr>
        <w:t>This assessment relies only on the supplied investment committee packet; it is a committee recommendation, not legal, tax, or individualized investment advice. “Liquidity” in this memo has two separate meanings: (1) contractual redemption—the right and process to submit a repurchase or redemption request; and (2) practical access to cash—the speed and certainty of actually receiving cash. A contractual right is not immediate or certain cash access, especially where requests may be scaled back pro rata.</w:t>
      </w:r>
    </w:p>
    <w:p>
      <w:r>
        <w:rPr>
          <w:b/>
        </w:rPr>
        <w:t xml:space="preserve">Packet facts. </w:t>
      </w:r>
      <w:r>
        <w:rPr>
          <w:b w:val="0"/>
        </w:rPr>
        <w:t>Northmere Interval Credit Fund is an interval fund with quarterly repurchase offers; Harrowgate Private Credit BDC is a non-traded BDC with a periodic redemption program. Both require 45-day notice. Northmere offers up to 25% of net asset value (NAV) per quarter, while Harrowgate offers up to 5%; both are subject to pro rata acceptance if demand exceeds capacity. The packet therefore identifies Northmere as stronger on contractual redemption. It does not establish that either vehicle can deliver cash immediately or in full when requested.</w:t>
      </w:r>
    </w:p>
    <w:p>
      <w:pPr>
        <w:pStyle w:val="Heading1"/>
      </w:pPr>
      <w:r>
        <w:t>Comparison and what the $12 million means</w:t>
      </w:r>
    </w:p>
    <w:tbl>
      <w:tblPr>
        <w:tblStyle w:val="TableGrid"/>
        <w:tblW w:type="auto" w:w="0"/>
        <w:jc w:val="center"/>
        <w:tblLook w:firstColumn="1" w:firstRow="1" w:lastColumn="0" w:lastRow="0" w:noHBand="0" w:noVBand="1" w:val="04A0"/>
      </w:tblPr>
      <w:tblGrid>
        <w:gridCol w:w="3485"/>
        <w:gridCol w:w="3485"/>
        <w:gridCol w:w="3485"/>
      </w:tblGrid>
      <w:tr>
        <w:tc>
          <w:tcPr>
            <w:tcW w:type="dxa" w:w="3485"/>
            <w:shd w:fill="17365D"/>
            <w:vAlign w:val="center"/>
          </w:tcPr>
          <w:p>
            <w:pPr>
              <w:spacing w:after="0"/>
              <w:jc w:val="center"/>
            </w:pPr>
            <w:r>
              <w:rPr>
                <w:b/>
                <w:color w:val="FFFFFF"/>
                <w:sz w:val="16"/>
              </w:rPr>
              <w:t>Packet measure</w:t>
            </w:r>
          </w:p>
        </w:tc>
        <w:tc>
          <w:tcPr>
            <w:tcW w:type="dxa" w:w="3485"/>
            <w:shd w:fill="17365D"/>
            <w:vAlign w:val="center"/>
          </w:tcPr>
          <w:p>
            <w:pPr>
              <w:spacing w:after="0"/>
              <w:jc w:val="center"/>
            </w:pPr>
            <w:r>
              <w:rPr>
                <w:b/>
                <w:color w:val="FFFFFF"/>
                <w:sz w:val="16"/>
              </w:rPr>
              <w:t>Northmere</w:t>
            </w:r>
          </w:p>
        </w:tc>
        <w:tc>
          <w:tcPr>
            <w:tcW w:type="dxa" w:w="3485"/>
            <w:shd w:fill="17365D"/>
            <w:vAlign w:val="center"/>
          </w:tcPr>
          <w:p>
            <w:pPr>
              <w:spacing w:after="0"/>
              <w:jc w:val="center"/>
            </w:pPr>
            <w:r>
              <w:rPr>
                <w:b/>
                <w:color w:val="FFFFFF"/>
                <w:sz w:val="16"/>
              </w:rPr>
              <w:t>Harrowgate</w:t>
            </w:r>
          </w:p>
        </w:tc>
      </w:tr>
      <w:tr>
        <w:tc>
          <w:tcPr>
            <w:tcW w:type="dxa" w:w="3485"/>
            <w:tcMar>
              <w:top w:w="70" w:type="dxa"/>
              <w:start w:w="90" w:type="dxa"/>
              <w:bottom w:w="70" w:type="dxa"/>
              <w:end w:w="90" w:type="dxa"/>
            </w:tcMar>
            <w:shd w:fill="F6F9FB"/>
          </w:tcPr>
          <w:p>
            <w:pPr>
              <w:spacing w:after="0"/>
            </w:pPr>
            <w:r>
              <w:rPr>
                <w:b/>
                <w:sz w:val="16"/>
              </w:rPr>
              <w:t>Stated net yield (annualized; 30 Nov)</w:t>
            </w:r>
          </w:p>
        </w:tc>
        <w:tc>
          <w:tcPr>
            <w:tcW w:type="dxa" w:w="3485"/>
            <w:tcMar>
              <w:top w:w="70" w:type="dxa"/>
              <w:start w:w="90" w:type="dxa"/>
              <w:bottom w:w="70" w:type="dxa"/>
              <w:end w:w="90" w:type="dxa"/>
            </w:tcMar>
            <w:shd w:fill="F6F9FB"/>
          </w:tcPr>
          <w:p>
            <w:pPr>
              <w:spacing w:after="0"/>
            </w:pPr>
            <w:r>
              <w:rPr>
                <w:b w:val="0"/>
                <w:sz w:val="16"/>
              </w:rPr>
              <w:t>8.20%</w:t>
            </w:r>
          </w:p>
        </w:tc>
        <w:tc>
          <w:tcPr>
            <w:tcW w:type="dxa" w:w="3485"/>
            <w:tcMar>
              <w:top w:w="70" w:type="dxa"/>
              <w:start w:w="90" w:type="dxa"/>
              <w:bottom w:w="70" w:type="dxa"/>
              <w:end w:w="90" w:type="dxa"/>
            </w:tcMar>
            <w:shd w:fill="F6F9FB"/>
          </w:tcPr>
          <w:p>
            <w:pPr>
              <w:spacing w:after="0"/>
            </w:pPr>
            <w:r>
              <w:rPr>
                <w:b w:val="0"/>
                <w:sz w:val="16"/>
              </w:rPr>
              <w:t>9.10%</w:t>
            </w:r>
          </w:p>
        </w:tc>
      </w:tr>
      <w:tr>
        <w:tc>
          <w:tcPr>
            <w:tcW w:type="dxa" w:w="3485"/>
            <w:tcMar>
              <w:top w:w="70" w:type="dxa"/>
              <w:start w:w="90" w:type="dxa"/>
              <w:bottom w:w="70" w:type="dxa"/>
              <w:end w:w="90" w:type="dxa"/>
            </w:tcMar>
          </w:tcPr>
          <w:p>
            <w:pPr>
              <w:spacing w:after="0"/>
            </w:pPr>
            <w:r>
              <w:rPr>
                <w:b/>
                <w:sz w:val="16"/>
              </w:rPr>
              <w:t>Annual net operating-expense fee load</w:t>
            </w:r>
          </w:p>
        </w:tc>
        <w:tc>
          <w:tcPr>
            <w:tcW w:type="dxa" w:w="3485"/>
            <w:tcMar>
              <w:top w:w="70" w:type="dxa"/>
              <w:start w:w="90" w:type="dxa"/>
              <w:bottom w:w="70" w:type="dxa"/>
              <w:end w:w="90" w:type="dxa"/>
            </w:tcMar>
          </w:tcPr>
          <w:p>
            <w:pPr>
              <w:spacing w:after="0"/>
            </w:pPr>
            <w:r>
              <w:rPr>
                <w:b w:val="0"/>
                <w:sz w:val="16"/>
              </w:rPr>
              <w:t>2.30%</w:t>
            </w:r>
          </w:p>
        </w:tc>
        <w:tc>
          <w:tcPr>
            <w:tcW w:type="dxa" w:w="3485"/>
            <w:tcMar>
              <w:top w:w="70" w:type="dxa"/>
              <w:start w:w="90" w:type="dxa"/>
              <w:bottom w:w="70" w:type="dxa"/>
              <w:end w:w="90" w:type="dxa"/>
            </w:tcMar>
          </w:tcPr>
          <w:p>
            <w:pPr>
              <w:spacing w:after="0"/>
            </w:pPr>
            <w:r>
              <w:rPr>
                <w:b w:val="0"/>
                <w:sz w:val="16"/>
              </w:rPr>
              <w:t>1.80%</w:t>
            </w:r>
          </w:p>
        </w:tc>
      </w:tr>
      <w:tr>
        <w:tc>
          <w:tcPr>
            <w:tcW w:type="dxa" w:w="3485"/>
            <w:tcMar>
              <w:top w:w="70" w:type="dxa"/>
              <w:start w:w="90" w:type="dxa"/>
              <w:bottom w:w="70" w:type="dxa"/>
              <w:end w:w="90" w:type="dxa"/>
            </w:tcMar>
            <w:shd w:fill="F6F9FB"/>
          </w:tcPr>
          <w:p>
            <w:pPr>
              <w:spacing w:after="0"/>
            </w:pPr>
            <w:r>
              <w:rPr>
                <w:b/>
                <w:sz w:val="16"/>
              </w:rPr>
              <w:t>Quarterly redemption / repurchase capacity</w:t>
            </w:r>
          </w:p>
        </w:tc>
        <w:tc>
          <w:tcPr>
            <w:tcW w:type="dxa" w:w="3485"/>
            <w:tcMar>
              <w:top w:w="70" w:type="dxa"/>
              <w:start w:w="90" w:type="dxa"/>
              <w:bottom w:w="70" w:type="dxa"/>
              <w:end w:w="90" w:type="dxa"/>
            </w:tcMar>
            <w:shd w:fill="F6F9FB"/>
          </w:tcPr>
          <w:p>
            <w:pPr>
              <w:spacing w:after="0"/>
            </w:pPr>
            <w:r>
              <w:rPr>
                <w:b w:val="0"/>
                <w:sz w:val="16"/>
              </w:rPr>
              <w:t>Up to 25% of NAV</w:t>
            </w:r>
          </w:p>
        </w:tc>
        <w:tc>
          <w:tcPr>
            <w:tcW w:type="dxa" w:w="3485"/>
            <w:tcMar>
              <w:top w:w="70" w:type="dxa"/>
              <w:start w:w="90" w:type="dxa"/>
              <w:bottom w:w="70" w:type="dxa"/>
              <w:end w:w="90" w:type="dxa"/>
            </w:tcMar>
            <w:shd w:fill="F6F9FB"/>
          </w:tcPr>
          <w:p>
            <w:pPr>
              <w:spacing w:after="0"/>
            </w:pPr>
            <w:r>
              <w:rPr>
                <w:b w:val="0"/>
                <w:sz w:val="16"/>
              </w:rPr>
              <w:t>Up to 5% of NAV</w:t>
            </w:r>
          </w:p>
        </w:tc>
      </w:tr>
      <w:tr>
        <w:tc>
          <w:tcPr>
            <w:tcW w:type="dxa" w:w="3485"/>
            <w:tcMar>
              <w:top w:w="70" w:type="dxa"/>
              <w:start w:w="90" w:type="dxa"/>
              <w:bottom w:w="70" w:type="dxa"/>
              <w:end w:w="90" w:type="dxa"/>
            </w:tcMar>
          </w:tcPr>
          <w:p>
            <w:pPr>
              <w:spacing w:after="0"/>
            </w:pPr>
            <w:r>
              <w:rPr>
                <w:b/>
                <w:sz w:val="16"/>
              </w:rPr>
              <w:t>Leverage (debt / net assets; 30 Nov)</w:t>
            </w:r>
          </w:p>
        </w:tc>
        <w:tc>
          <w:tcPr>
            <w:tcW w:type="dxa" w:w="3485"/>
            <w:tcMar>
              <w:top w:w="70" w:type="dxa"/>
              <w:start w:w="90" w:type="dxa"/>
              <w:bottom w:w="70" w:type="dxa"/>
              <w:end w:w="90" w:type="dxa"/>
            </w:tcMar>
          </w:tcPr>
          <w:p>
            <w:pPr>
              <w:spacing w:after="0"/>
            </w:pPr>
            <w:r>
              <w:rPr>
                <w:b w:val="0"/>
                <w:sz w:val="16"/>
              </w:rPr>
              <w:t>0.25x</w:t>
            </w:r>
          </w:p>
        </w:tc>
        <w:tc>
          <w:tcPr>
            <w:tcW w:type="dxa" w:w="3485"/>
            <w:tcMar>
              <w:top w:w="70" w:type="dxa"/>
              <w:start w:w="90" w:type="dxa"/>
              <w:bottom w:w="70" w:type="dxa"/>
              <w:end w:w="90" w:type="dxa"/>
            </w:tcMar>
          </w:tcPr>
          <w:p>
            <w:pPr>
              <w:spacing w:after="0"/>
            </w:pPr>
            <w:r>
              <w:rPr>
                <w:b w:val="0"/>
                <w:sz w:val="16"/>
              </w:rPr>
              <w:t>0.65x</w:t>
            </w:r>
          </w:p>
        </w:tc>
      </w:tr>
    </w:tbl>
    <w:p>
      <w:r>
        <w:rPr>
          <w:b/>
        </w:rPr>
        <w:t xml:space="preserve">How to read this comparison. </w:t>
      </w:r>
      <w:r>
        <w:rPr>
          <w:b w:val="0"/>
        </w:rPr>
        <w:t>On the proposed $12,000,000, the stated annualized net-yield figures correspond to approximately $984,000 for Northmere and $1,092,000 for Harrowgate—a $108,000 annualized difference. The stated fee-load percentages correspond to $276,000 and $216,000, respectively—a $60,000 difference. These illustrations show why Harrowgate’s yield and fee load matter, but they do not mechanically decide suitability. A stated or historical yield is not guaranteed, is not risk-free, and must not be read as a promise of future performance; neither vehicle is described in the packet as insured and repayment of principal is not assured. Lower leverage is a comparative characteristic, not a guarantee of safety or return.</w:t>
      </w:r>
    </w:p>
    <w:p>
      <w:pPr>
        <w:pStyle w:val="Heading1"/>
      </w:pPr>
      <w:r>
        <w:t>Judgment, risk and rejected alternative</w:t>
      </w:r>
    </w:p>
    <w:p>
      <w:r>
        <w:rPr>
          <w:b/>
        </w:rPr>
        <w:t xml:space="preserve">Interpretation. </w:t>
      </w:r>
      <w:r>
        <w:rPr>
          <w:b w:val="0"/>
        </w:rPr>
        <w:t>The packet’s assumptions are material: this is a five-year allocation, the Foundation does not expect to need the capital for operating expenditure over the next 18 months, and no minimum yield target has been set. Northmere’s 25% quarterly capacity does not remove practical cash-access risk, but it gives the Foundation a meaningfully broader contractual route if its cash needs change. The higher 2.30% fee load and lower 8.20% stated yield are the selected vehicle’s principal disadvantages; they are acceptable here because the committee asked to weigh controlled access to capital and leadership continuity alongside income and cost.</w:t>
      </w:r>
    </w:p>
    <w:p>
      <w:r>
        <w:rPr>
          <w:b/>
        </w:rPr>
        <w:t xml:space="preserve">Harrowgate’s strongest case—and why it loses. </w:t>
      </w:r>
      <w:r>
        <w:rPr>
          <w:b w:val="0"/>
        </w:rPr>
        <w:t>Harrowgate Private Credit BDC has the higher 9.10% stated net yield and lower 1.80% fee load, so it is the stronger income-and-cost choice on the packet’s figures. Its principal limitation for this allocation is not a finding about conduct or a prediction of performance. Rather, the packet records that its founding credit officer left in June and that the successor has no full credit-cycle history. The chair’s informal comment is an unverified reputational and key-person concern, not an allegation or evidence of misconduct. That uncertainty could prove immaterial and does not establish that the successor will underperform; nevertheless, when considered with Harrowgate’s narrower contractual redemption capacity and higher stated leverage, it is material enough to outweigh the $108,000 annualized yield illustration and $60,000 fee-load illustration.</w:t>
      </w:r>
    </w:p>
    <w:p>
      <w:pPr>
        <w:keepLines/>
      </w:pPr>
      <w:r>
        <w:rPr>
          <w:b/>
        </w:rPr>
        <w:t xml:space="preserve">Recommendation. </w:t>
      </w:r>
      <w:r>
        <w:rPr>
          <w:b w:val="0"/>
        </w:rPr>
        <w:t>For the 12 December decision, I recommend allocating the proposed $12 million to Northmere Interval Credit Fund, subject to the packet’s stated five-year and no-near-term-operating-cash assumptions. It is not risk-free and cash is not available on demand; nevertheless, Northmere’s stronger contractual redemption terms, lower stated leverage, and absence of the identified Harrowgate key-person uncertainty make it the more defensible vehicle for this allocation.</w:t>
      </w:r>
    </w:p>
    <w:sectPr w:rsidR="00FC693F" w:rsidRPr="0006063C" w:rsidSect="00034616">
      <w:headerReference w:type="default" r:id="rId9"/>
      <w:footerReference w:type="default" r:id="rId10"/>
      <w:pgSz w:w="12240" w:h="15840"/>
      <w:pgMar w:top="648" w:right="893" w:bottom="648"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color w:val="6B7280"/>
        <w:sz w:val="15"/>
      </w:rPr>
      <w:t>Aldbourne Foundation — Committee materials — 12 December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17365D"/>
        <w:sz w:val="16"/>
      </w:rPr>
      <w:t>RUSHMERE CHAMBERS  |  COVERAGE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Aptos Display" w:hAnsi="Aptos Display"/>
      <w:b/>
      <w:bCs/>
      <w:color w:val="17365D"/>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line="240" w:lineRule="auto"/>
      <w:contextualSpacing/>
    </w:pPr>
    <w:rPr>
      <w:rFonts w:asciiTheme="majorHAnsi" w:eastAsiaTheme="majorEastAsia" w:hAnsiTheme="majorHAnsi" w:cstheme="majorBidi" w:ascii="Aptos Display" w:hAnsi="Aptos Display"/>
      <w:color w:val="17365D"/>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