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FERNHOLLOW SYSTEMS</w:t>
      </w:r>
    </w:p>
    <w:p>
      <w:pPr>
        <w:jc w:val="center"/>
      </w:pPr>
      <w:r>
        <w:rPr>
          <w:b/>
          <w:sz w:val="26"/>
        </w:rPr>
        <w:t>Sandpiper Supply chassis-line flatness conformance opinion</w:t>
      </w:r>
    </w:p>
    <w:p>
      <w:r>
        <w:t>To: Noor Maldonado, Commercial Lead</w:t>
        <w:br/>
        <w:t>From: Tadeo Okonkwo, Manufacturing Engineer</w:t>
        <w:br/>
        <w:t>Subject: Award-document position on rejected chassis-line parts</w:t>
      </w:r>
    </w:p>
    <w:p>
      <w:r>
        <w:t>Conclusion — YES. The rejected parts conform under the supplied award drawing and tolerance text. The contractual 0.18 mm flatness callout governs the finished machined face (datum A), and the valid controlled-face evidence is within that limit.</w:t>
      </w:r>
    </w:p>
    <w:p>
      <w:r>
        <w:t>Basis. I relied on award drawing FH-SS-CHS-017, Revision B, issued 14 May 2024, and its companion tolerance text. Datum A is the finished machined face; datum B and datum C are locating features in the supplied datum reference frame A|B|C. The drawing states that welding precedes machining, so the flatness callout applies to the finished machined face rather than the as-welded assembly face.</w:t>
      </w:r>
    </w:p>
    <w:p>
      <w:r>
        <w:t>Evidence. I reviewed the evidence table in inspection_bundle.xlsx row by row. After applying note overrides, removing the repeated EV-011 event, excluding the setup-check piece EV-004, excluding malformed EV-007, excluding irrelevant profile row EV-012, and leaving EV-013 unresolved because it has no valid reading, 7 distinct usable controlled-face records remain. Their flatness values are 0.10 mm minimum, 0.17 mm maximum, and 0.133 mm arithmetic mean. The maximum is below 0.18 mm.</w:t>
      </w:r>
    </w:p>
    <w:p>
      <w:r>
        <w:t>The as-welded readings EV-005 (0.24 mm) and EV-006 (0.21 mm) were not used to establish failure. They are measurements of a different, pre-machining surface; an as-welded exceedance therefore cannot establish nonconformance against the finished machined-face callout. The register records those exclusions and every other reviewed row.</w:t>
      </w:r>
    </w:p>
    <w:p>
      <w:r>
        <w:t>Conflict disclosure and safeguard. I designed the Fernhollow Systems weld fixture under review. To insulate this opinion from that potential self-interest, I used only the supplied award documents and a reproducible row-selection method: normalize surface labels, let free-text notes override conflicting fields, remove duplicate events, and calculate statistics solely from included controlled-face readings. The commercial or quality team can reproduce each decision from the source row and reason recorded in the register; no unsupported assurance from me is used.</w:t>
      </w:r>
    </w:p>
    <w:p>
      <w:r>
        <w:t>Limitations. This opinion is limited to the supplied FH-SS-CHS-017 Rev B award drawing/tolerance text and inspection_bundle.xlsx evidence. It does not incorporate later standards, customer concessions, revisions, or other contractual terms. EV-007 and EV-013 remain unusable for numeric comparison rather than being estimated.</w:t>
      </w:r>
    </w:p>
    <w:p>
      <w:r>
        <w:t>Regards,</w:t>
        <w:br/>
        <w:br/>
        <w:t>Tadeo Okonkwo</w:t>
        <w:br/>
        <w:t>Manufacturing Engineer</w:t>
        <w:br/>
        <w:t>Fernhollow Systems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