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b/>
          <w:color w:val="5F6B73"/>
          <w:sz w:val="16"/>
        </w:rPr>
        <w:t>INTERNAL WORKING DRAFT  |  COMMS PLANNING</w:t>
      </w:r>
    </w:p>
    <w:p>
      <w:pPr>
        <w:pStyle w:val="Title"/>
      </w:pPr>
      <w:r>
        <w:t>Amberfield Works</w:t>
        <w:br/>
      </w:r>
      <w:r>
        <w:rPr>
          <w:color w:val="2D7F7B"/>
          <w:sz w:val="36"/>
        </w:rPr>
        <w:t>Press attention forecast</w:t>
      </w:r>
    </w:p>
    <w:p>
      <w:pPr>
        <w:pStyle w:val="Subtitle"/>
      </w:pPr>
      <w:r>
        <w:rPr>
          <w:color w:val="5F6B73"/>
        </w:rPr>
        <w:t>September apprenticeship announcement | internal planning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Prepared for</w:t>
              <w:br/>
            </w:r>
            <w:r>
              <w:rPr>
                <w:sz w:val="18"/>
              </w:rPr>
              <w:t>Priya Salcedo and Edith Wickramasinghe</w:t>
            </w:r>
          </w:p>
        </w:tc>
        <w:tc>
          <w:tcPr>
            <w:tcW w:type="dxa" w:w="3408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Working date</w:t>
              <w:br/>
            </w:r>
            <w:r>
              <w:rPr>
                <w:sz w:val="18"/>
              </w:rPr>
              <w:t>14 August 2026</w:t>
            </w:r>
          </w:p>
        </w:tc>
        <w:tc>
          <w:tcPr>
            <w:tcW w:type="dxa" w:w="3408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Evidence</w:t>
              <w:br/>
            </w:r>
            <w:r>
              <w:rPr>
                <w:sz w:val="18"/>
              </w:rPr>
              <w:t>Signal log and planning inputs</w:t>
            </w:r>
          </w:p>
        </w:tc>
      </w:tr>
    </w:tbl>
    <w:p/>
    <w:p>
      <w:pPr>
        <w:pStyle w:val="Heading2"/>
      </w:pPr>
      <w:r>
        <w:t>Communications policy for this pack</w:t>
      </w:r>
    </w:p>
    <w:p>
      <w:r>
        <w:rPr>
          <w:b/>
        </w:rPr>
        <w:t>Planning scenarios, not predictions.</w:t>
      </w:r>
      <w:r>
        <w:t xml:space="preserve"> This internal work supports spokesperson availability and regional monitoring. It must not state that a named outlet will publish or turn a planning case into a promised outcome.</w:t>
      </w:r>
    </w:p>
    <w:p>
      <w:pPr>
        <w:pStyle w:val="ListBullet"/>
      </w:pPr>
      <w:r>
        <w:t>Use the supplied signal log and planning inputs only; do not add outside benchmarks, quotations, or outlet claims.</w:t>
      </w:r>
    </w:p>
    <w:p>
      <w:pPr>
        <w:pStyle w:val="ListBullet"/>
      </w:pPr>
      <w:r>
        <w:t>Keep earned editorial attention separate from owned, paid, calendar, and administrative activity.</w:t>
      </w:r>
    </w:p>
    <w:p>
      <w:pPr>
        <w:pStyle w:val="ListBullet"/>
      </w:pPr>
      <w:r>
        <w:t>Keep row-level source decisions in the evidence workbook. The report and briefing should explain the consequential judgement, not repeat the log.</w:t>
      </w:r>
    </w:p>
    <w:p>
      <w:pPr>
        <w:pStyle w:val="ListBullet"/>
      </w:pPr>
      <w:r>
        <w:t>Use the supplied scenario labels exactly: Baseline, Delayed-launch, and High-interest.</w:t>
      </w:r>
    </w:p>
    <w:p>
      <w:pPr>
        <w:pStyle w:val="Heading2"/>
      </w:pPr>
      <w:r>
        <w:t>Report structure to complete</w:t>
      </w:r>
    </w:p>
    <w:p>
      <w:pPr>
        <w:pStyle w:val="Heading1"/>
      </w:pPr>
      <w:r>
        <w:t>Executive outlook</w:t>
      </w:r>
    </w:p>
    <w:p>
      <w:r>
        <w:rPr>
          <w:b/>
        </w:rPr>
        <w:t xml:space="preserve">Draft prompt: </w:t>
      </w:r>
      <w:r>
        <w:t>State the internal decision context, the planning window, and the material caution before giving totals.</w:t>
      </w:r>
    </w:p>
    <w:p>
      <w:pPr>
        <w:pStyle w:val="Heading1"/>
      </w:pPr>
      <w:r>
        <w:t>Evidence base</w:t>
      </w:r>
    </w:p>
    <w:p>
      <w:r>
        <w:rPr>
          <w:b/>
        </w:rPr>
        <w:t xml:space="preserve">Draft prompt: </w:t>
      </w:r>
      <w:r>
        <w:t>Explain how the source records were reconciled into eligible editorial signals; keep detail in the workbook.</w:t>
      </w:r>
    </w:p>
    <w:p>
      <w:pPr>
        <w:pStyle w:val="Heading1"/>
      </w:pPr>
      <w:r>
        <w:t>Scenario forecast</w:t>
      </w:r>
    </w:p>
    <w:p>
      <w:r>
        <w:rPr>
          <w:b/>
        </w:rPr>
        <w:t xml:space="preserve">Draft prompt: </w:t>
      </w:r>
      <w:r>
        <w:t>Show all three scenario labels, windows, totals, and the distinct assumptions behind them.</w:t>
      </w:r>
    </w:p>
    <w:p>
      <w:pPr>
        <w:pStyle w:val="Heading1"/>
      </w:pPr>
      <w:r>
        <w:t>Regional implications</w:t>
      </w:r>
    </w:p>
    <w:p>
      <w:r>
        <w:rPr>
          <w:b/>
        </w:rPr>
        <w:t xml:space="preserve">Draft prompt: </w:t>
      </w:r>
      <w:r>
        <w:t>Show regional estimates and allocations, including any value beyond the draft visual range.</w:t>
      </w:r>
    </w:p>
    <w:p>
      <w:pPr>
        <w:pStyle w:val="Heading1"/>
      </w:pPr>
      <w:r>
        <w:t>Monitoring plan</w:t>
      </w:r>
    </w:p>
    <w:p>
      <w:r>
        <w:rPr>
          <w:b/>
        </w:rPr>
        <w:t xml:space="preserve">Draft prompt: </w:t>
      </w:r>
      <w:r>
        <w:t>Set out spokesperson availability, regional monitoring focus, and what to check once observations begin.</w:t>
      </w:r>
    </w:p>
    <w:p>
      <w:pPr>
        <w:pStyle w:val="Heading1"/>
      </w:pPr>
      <w:r>
        <w:t>Assumptions, corrections and judgements</w:t>
      </w:r>
    </w:p>
    <w:p>
      <w:r>
        <w:rPr>
          <w:b/>
        </w:rPr>
        <w:t xml:space="preserve">Draft prompt: </w:t>
      </w:r>
      <w:r>
        <w:t>Record the material model inputs, supported fixes, unresolved gaps, and inclusion decisions.</w:t>
      </w:r>
    </w:p>
    <w:p>
      <w:r>
        <w:br w:type="page"/>
      </w:r>
    </w:p>
    <w:p>
      <w:pPr>
        <w:pStyle w:val="Title"/>
      </w:pPr>
      <w:r>
        <w:t>Briefing storyboard</w:t>
      </w:r>
    </w:p>
    <w:p>
      <w:r>
        <w:rPr>
          <w:color w:val="5F6B73"/>
        </w:rPr>
        <w:t>Six-screen internal briefing. Keep the report, workbook, and briefing numerically aligned. The briefing must work without narration.</w:t>
      </w:r>
    </w:p>
    <w:p>
      <w:r>
        <w:rPr>
          <w:b/>
        </w:rPr>
        <w:t xml:space="preserve">Presentation geometry: </w:t>
      </w:r>
      <w:r>
        <w:t>six landscape pages; 13.333 by 7.5 inches (16:9).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Storyboard title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Reader should see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Layout cue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Decision context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Why spokesperson timing and regional monitoring need a decision now; visible cautionary line.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Simple decision frame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What the evidence says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Eligible editorial treatment, copied material, local rewrite, and source limitations.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Evidence summary, not raw log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Three planning scenarios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Baseline, Delayed-launch, High-interest with their windows and totals.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Scenario comparison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Regional attention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Regional values and the full high-interest value beyond the draft chart range.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Legible chart and table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Spokespeople and monitoring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Coverage allocation and triggers for regional attention.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Action-oriented table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CF2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Assumptions and next check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Model inputs, corrections, limits, and the first live-monitoring check.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Close with caveat</w:t>
            </w:r>
          </w:p>
        </w:tc>
      </w:tr>
    </w:tbl>
    <w:p/>
    <w:p>
      <w:r>
        <w:rPr>
          <w:b/>
        </w:rPr>
        <w:t xml:space="preserve">Editorial note: </w:t>
      </w:r>
      <w:r>
        <w:t>Do not cap, replace, or hide a calculated regional value simply because it exceeds the unfinished chart's expected range. Adjust the visual so the full value remains interpretable.</w:t>
      </w:r>
    </w:p>
    <w:sectPr w:rsidR="00FC693F" w:rsidRPr="0006063C" w:rsidSect="00034616">
      <w:footerReference w:type="default" r:id="rId9"/>
      <w:pgSz w:w="12240" w:h="15840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3"/>
        <w:sz w:val="16"/>
      </w:rPr>
      <w:t>Amberfield Works | internal communications planning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Amberfield Works press attention forecast - working draft</dc:title>
  <dc:subject>Internal communications planning</dc:subject>
  <dc:creator>Larkmead Collective Communications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