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2"/>
        </w:rPr>
        <w:t>Duncastle Intake Coverage Run Sheet</w:t>
      </w:r>
    </w:p>
    <w:p>
      <w:pPr>
        <w:spacing w:after="100"/>
      </w:pPr>
      <w:r>
        <w:t>Use with duncastle_coverage_instrument.xlsx. Transfer the completed workbook fields and formula results below; record a gap rather than inventing a fact. This sheet records factual checks and measures only.</w:t>
      </w:r>
    </w:p>
    <w:p>
      <w:pPr>
        <w:pStyle w:val="Heading2"/>
      </w:pPr>
      <w:r>
        <w:t>Run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Preparer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Site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Desk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  <w:tr>
        <w:trPr>
          <w:trHeight w:val="648"/>
        </w:trP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Source or assumption note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</w:tbl>
    <w:p>
      <w:pPr>
        <w:pStyle w:val="Heading2"/>
      </w:pPr>
      <w:r>
        <w:t>Candidate arrangement</w:t>
      </w:r>
    </w:p>
    <w:p>
      <w:pPr>
        <w:spacing w:after="60"/>
      </w:pPr>
      <w:r>
        <w:t>Transfer one line per candidate arrangement record from the workbook. Use the workbook’s controlled status terms.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F6D78"/>
          </w:tcPr>
          <w:p>
            <w:r>
              <w:rPr>
                <w:b/>
                <w:color w:val="FFFFFF"/>
                <w:sz w:val="16"/>
              </w:rPr>
              <w:t>Clerk</w:t>
            </w:r>
          </w:p>
        </w:tc>
        <w:tc>
          <w:tcPr>
            <w:tcW w:type="dxa" w:w="1522"/>
            <w:shd w:fill="1F6D78"/>
          </w:tcPr>
          <w:p>
            <w:r>
              <w:rPr>
                <w:b/>
                <w:color w:val="FFFFFF"/>
                <w:sz w:val="16"/>
              </w:rPr>
              <w:t>Site</w:t>
            </w:r>
          </w:p>
        </w:tc>
        <w:tc>
          <w:tcPr>
            <w:tcW w:type="dxa" w:w="1522"/>
            <w:shd w:fill="1F6D78"/>
          </w:tcPr>
          <w:p>
            <w:r>
              <w:rPr>
                <w:b/>
                <w:color w:val="FFFFFF"/>
                <w:sz w:val="16"/>
              </w:rPr>
              <w:t>Desk</w:t>
            </w:r>
          </w:p>
        </w:tc>
        <w:tc>
          <w:tcPr>
            <w:tcW w:type="dxa" w:w="1522"/>
            <w:shd w:fill="1F6D78"/>
          </w:tcPr>
          <w:p>
            <w:r>
              <w:rPr>
                <w:b/>
                <w:color w:val="FFFFFF"/>
                <w:sz w:val="16"/>
              </w:rPr>
              <w:t>Coverage interval / shift</w:t>
            </w:r>
          </w:p>
        </w:tc>
        <w:tc>
          <w:tcPr>
            <w:tcW w:type="dxa" w:w="1522"/>
            <w:shd w:fill="1F6D78"/>
          </w:tcPr>
          <w:p>
            <w:r>
              <w:rPr>
                <w:b/>
                <w:color w:val="FFFFFF"/>
                <w:sz w:val="16"/>
              </w:rPr>
              <w:t>Break status</w:t>
            </w:r>
          </w:p>
        </w:tc>
        <w:tc>
          <w:tcPr>
            <w:tcW w:type="dxa" w:w="1522"/>
            <w:shd w:fill="1F6D78"/>
          </w:tcPr>
          <w:p>
            <w:r>
              <w:rPr>
                <w:b/>
                <w:color w:val="FFFFFF"/>
                <w:sz w:val="16"/>
              </w:rPr>
              <w:t>Coverage / assignment status</w:t>
            </w:r>
          </w:p>
        </w:tc>
        <w:tc>
          <w:tcPr>
            <w:tcW w:type="dxa" w:w="1522"/>
            <w:shd w:fill="1F6D78"/>
          </w:tcPr>
          <w:p>
            <w:r>
              <w:rPr>
                <w:b/>
                <w:color w:val="FFFFFF"/>
                <w:sz w:val="16"/>
              </w:rPr>
              <w:t>Source or assumption note</w:t>
            </w:r>
          </w:p>
        </w:tc>
      </w:tr>
      <w:tr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</w:tr>
      <w:tr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  <w:tc>
          <w:tcPr>
            <w:tcW w:type="dxa" w:w="152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t xml:space="preserve"> </w:t>
            </w:r>
          </w:p>
        </w:tc>
      </w:tr>
    </w:tbl>
    <w:p>
      <w:pPr>
        <w:pStyle w:val="Heading2"/>
      </w:pPr>
      <w:r>
        <w:t>Workbook checks and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Break compliance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Non-alone coverage by active site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Cross-training compliance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Overall feasibility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Failed-check detail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Abandoned-call exposure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Workload/coverage balance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  <w:tr>
        <w:tc>
          <w:tcPr>
            <w:tcW w:type="dxa" w:w="5328"/>
            <w:shd w:fill="DDEBF7"/>
            <w:vAlign w:val="center"/>
          </w:tcPr>
          <w:p>
            <w:r>
              <w:rPr>
                <w:b/>
              </w:rPr>
              <w:t>Baseline comparison (candidate minus baseline)</w:t>
            </w:r>
          </w:p>
        </w:tc>
        <w:tc>
          <w:tcPr>
            <w:tcW w:type="dxa" w:w="5328"/>
            <w:shd w:fill="FFFDF5"/>
          </w:tcPr>
          <w:p>
            <w:r/>
            <w:r>
              <w:t xml:space="preserve">  _______________________________</w:t>
            </w:r>
          </w:p>
        </w:tc>
      </w:tr>
    </w:tbl>
    <w:p>
      <w:pPr/>
      <w:r>
        <w:t>Before the rota meeting, confirm that the overall feasibility, failed-check detail, and comparison figures were transferred from the workbook. Leave any unavailable/not supplied value identified as a gap.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Duncastle Health Network | Intake coverage review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