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7365D"/>
          <w:sz w:val="36"/>
        </w:rPr>
        <w:t>CROWNRIDGE HEALTH NETWORK</w:t>
      </w:r>
    </w:p>
    <w:p>
      <w:pPr>
        <w:jc w:val="center"/>
      </w:pPr>
      <w:r>
        <w:rPr>
          <w:rFonts w:ascii="Aptos" w:hAnsi="Aptos" w:eastAsia="Aptos"/>
          <w:b w:val="0"/>
          <w:color w:val="0F6B78"/>
          <w:sz w:val="22"/>
        </w:rPr>
        <w:t>Weekend appointment-reminder incident notes</w:t>
      </w:r>
    </w:p>
    <w:p>
      <w:pPr>
        <w:jc w:val="center"/>
      </w:pPr>
      <w:r>
        <w:rPr>
          <w:rFonts w:ascii="Aptos" w:hAnsi="Aptos" w:eastAsia="Aptos"/>
          <w:b w:val="0"/>
          <w:color w:val="5B6770"/>
          <w:sz w:val="16"/>
        </w:rPr>
        <w:t>Compiled Sunday evening for Monday front-desk coordination</w:t>
      </w:r>
    </w:p>
    <w:p>
      <w:pPr>
        <w:spacing w:before="140" w:after="40"/>
      </w:pPr>
      <w:r>
        <w:rPr>
          <w:rFonts w:ascii="Aptos" w:hAnsi="Aptos" w:eastAsia="Aptos"/>
          <w:b/>
          <w:color w:val="17365D"/>
          <w:sz w:val="20"/>
        </w:rPr>
        <w:t>Ana Vanterpool | Messaging service owner</w:t>
      </w:r>
    </w:p>
    <w:p>
      <w:pPr>
        <w:spacing w:after="60"/>
      </w:pPr>
      <w:r>
        <w:rPr>
          <w:rFonts w:ascii="Aptos" w:hAnsi="Aptos" w:eastAsia="Aptos"/>
          <w:b w:val="0"/>
          <w:color w:val="1F2933"/>
          <w:sz w:val="18"/>
        </w:rPr>
        <w:t>Over the weekend, appointment-reminder emails were spoofed. Hawthorne Supply widened the SPF record used by the messaging service, and DKIM was left unsigned. We are receiving patient calls across the 31 clinic front desks. Use the Crownridge messaging incident channel for suspicious-message reports; I am the owner contact for the incident.</w:t>
      </w:r>
    </w:p>
    <w:p>
      <w:pPr>
        <w:spacing w:before="140" w:after="40"/>
      </w:pPr>
      <w:r>
        <w:rPr>
          <w:rFonts w:ascii="Aptos" w:hAnsi="Aptos" w:eastAsia="Aptos"/>
          <w:b/>
          <w:color w:val="17365D"/>
          <w:sz w:val="20"/>
        </w:rPr>
        <w:t>Magda Seaborne | Security liaison</w:t>
      </w:r>
    </w:p>
    <w:p>
      <w:pPr>
        <w:spacing w:after="60"/>
      </w:pPr>
      <w:r>
        <w:rPr>
          <w:rFonts w:ascii="Aptos" w:hAnsi="Aptos" w:eastAsia="Aptos"/>
          <w:b w:val="0"/>
          <w:color w:val="1F2933"/>
          <w:sz w:val="18"/>
        </w:rPr>
        <w:t>The visible sender address can be forged. It is not enough by itself to decide that a reminder is genuine. A browser padlock or an HTTPS appearance is not a test that the email itself is authentic. In the cases provided, a Crownridge reply-to can support other information, but it is not proof by itself.</w:t>
      </w:r>
    </w:p>
    <w:p>
      <w:pPr>
        <w:spacing w:before="140" w:after="40"/>
      </w:pPr>
      <w:r>
        <w:rPr>
          <w:rFonts w:ascii="Aptos" w:hAnsi="Aptos" w:eastAsia="Aptos"/>
          <w:b/>
          <w:color w:val="17365D"/>
          <w:sz w:val="20"/>
        </w:rPr>
        <w:t>Marisol Mikkelsen | Scheduling-system contact</w:t>
      </w:r>
    </w:p>
    <w:p>
      <w:pPr>
        <w:spacing w:after="60"/>
      </w:pPr>
      <w:r>
        <w:rPr>
          <w:rFonts w:ascii="Aptos" w:hAnsi="Aptos" w:eastAsia="Aptos"/>
          <w:b w:val="0"/>
          <w:color w:val="1F2933"/>
          <w:sz w:val="18"/>
        </w:rPr>
        <w:t>For appointment questions, check Crownridge's internal scheduling record. The record is how staff should verify appointment information. Do not turn a caller into a technical verifier of the email.</w:t>
      </w:r>
    </w:p>
    <w:p>
      <w:pPr>
        <w:spacing w:before="140" w:after="40"/>
      </w:pPr>
      <w:r>
        <w:rPr>
          <w:rFonts w:ascii="Aptos" w:hAnsi="Aptos" w:eastAsia="Aptos"/>
          <w:b/>
          <w:color w:val="17365D"/>
          <w:sz w:val="20"/>
        </w:rPr>
        <w:t>Antoni Hutchins | Front-desk operations</w:t>
      </w:r>
    </w:p>
    <w:p>
      <w:pPr>
        <w:spacing w:after="60"/>
      </w:pPr>
      <w:r>
        <w:rPr>
          <w:rFonts w:ascii="Aptos" w:hAnsi="Aptos" w:eastAsia="Aptos"/>
          <w:b w:val="0"/>
          <w:color w:val="1F2933"/>
          <w:sz w:val="18"/>
        </w:rPr>
        <w:t>Suggested call language: “We are aware of misleading appointment-reminder messages. I can check your appointment information in our scheduling record.” Do not ask callers to read credentials, payment-card information, or one-time codes. Do not direct a caller to a phone number, link, or reply destination supplied only by a suspicious message.</w:t>
      </w:r>
    </w:p>
    <w:p>
      <w:pPr>
        <w:spacing w:before="140" w:after="40"/>
      </w:pPr>
      <w:r>
        <w:rPr>
          <w:rFonts w:ascii="Aptos" w:hAnsi="Aptos" w:eastAsia="Aptos"/>
          <w:b/>
          <w:color w:val="17365D"/>
          <w:sz w:val="20"/>
        </w:rPr>
        <w:t>Ana Vanterpool | Messaging service owner</w:t>
      </w:r>
    </w:p>
    <w:p>
      <w:pPr>
        <w:spacing w:after="60"/>
      </w:pPr>
      <w:r>
        <w:rPr>
          <w:rFonts w:ascii="Aptos" w:hAnsi="Aptos" w:eastAsia="Aptos"/>
          <w:b w:val="0"/>
          <w:color w:val="1F2933"/>
          <w:sz w:val="18"/>
        </w:rPr>
        <w:t>When a patient clicked or replied to a suspicious message, stop further interaction with that message. Do not request or repeat sensitive information. Record the report through the messaging incident channel and preserve the original message or a screenshot when available. Do not forward suspicious content to patients. This report does not establish that an account or identity was compromised.</w:t>
      </w:r>
    </w:p>
    <w:p>
      <w:pPr>
        <w:spacing w:before="140" w:after="40"/>
      </w:pPr>
      <w:r>
        <w:rPr>
          <w:rFonts w:ascii="Aptos" w:hAnsi="Aptos" w:eastAsia="Aptos"/>
          <w:b/>
          <w:color w:val="17365D"/>
          <w:sz w:val="20"/>
        </w:rPr>
        <w:t>Gitta Lombardi | Vendor liaison</w:t>
      </w:r>
    </w:p>
    <w:p>
      <w:pPr>
        <w:spacing w:after="60"/>
      </w:pPr>
      <w:r>
        <w:rPr>
          <w:rFonts w:ascii="Aptos" w:hAnsi="Aptos" w:eastAsia="Aptos"/>
          <w:b w:val="0"/>
          <w:color w:val="1F2933"/>
          <w:sz w:val="18"/>
        </w:rPr>
        <w:t>A Hawthorne Supply communication about marketing operations or invoicing is not a patient appointment-reminder message. It is outside the front-desk patient-response workflow; do not treat every Hawthorne Supply communication as a patient spoof.</w:t>
      </w:r>
    </w:p>
    <w:p>
      <w:pPr>
        <w:spacing w:before="160"/>
      </w:pPr>
      <w:r>
        <w:rPr>
          <w:rFonts w:ascii="Aptos" w:hAnsi="Aptos" w:eastAsia="Aptos"/>
          <w:b/>
          <w:color w:val="0F6B78"/>
          <w:sz w:val="18"/>
        </w:rPr>
        <w:t>Working distinction: message authenticity signals and appointment verification are different questions. A plausible sender or reply-to never replaces checking the internal scheduling record.</w:t>
      </w:r>
    </w:p>
    <w:sectPr w:rsidR="00FC693F" w:rsidRPr="0006063C" w:rsidSect="00034616">
      <w:footerReference w:type="default" r:id="rId9"/>
      <w:pgSz w:w="12240" w:h="15840"/>
      <w:pgMar w:top="605" w:right="648" w:bottom="605" w:left="648"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4"/>
      </w:rPr>
      <w:t>Internal coordination notes | Crownridge Health Network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